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2E" w:rsidRPr="00ED7D2E" w:rsidRDefault="00ED7D2E" w:rsidP="00ED7D2E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D2E" w:rsidRDefault="00ED7D2E" w:rsidP="00ED7D2E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ED7D2E" w:rsidRPr="00ED7D2E" w:rsidRDefault="00ED7D2E" w:rsidP="00ED7D2E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ED7D2E" w:rsidRPr="00ED7D2E" w:rsidRDefault="00ED7D2E" w:rsidP="00ED7D2E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КОНТРОЛЬНО-СЧЕТНАЯ ПАЛАТА</w:t>
      </w:r>
    </w:p>
    <w:p w:rsidR="00ED7D2E" w:rsidRPr="00ED7D2E" w:rsidRDefault="00ED7D2E" w:rsidP="00ED7D2E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КУЙТУНСКИЙ РАЙОН</w:t>
      </w:r>
    </w:p>
    <w:p w:rsidR="00ED7D2E" w:rsidRPr="00ED7D2E" w:rsidRDefault="00ED7D2E" w:rsidP="00ED7D2E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D2E" w:rsidRPr="00ED7D2E" w:rsidRDefault="00ED7D2E" w:rsidP="00ED7D2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D7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Заключение КСП № </w:t>
      </w:r>
      <w:r w:rsidR="00C81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F70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D7D2E" w:rsidRPr="00ED7D2E" w:rsidRDefault="00ED7D2E" w:rsidP="00ED7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результатам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эффективности предоставления налоговых и иных льгот и преимуществ.</w:t>
      </w:r>
    </w:p>
    <w:p w:rsidR="00ED7D2E" w:rsidRPr="00ED7D2E" w:rsidRDefault="00ED7D2E" w:rsidP="00ED7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D2E" w:rsidRPr="00ED7D2E" w:rsidRDefault="00ED7D2E" w:rsidP="00ED7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7D2E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ED7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Куйтун                                                                                                       1</w:t>
      </w:r>
      <w:r w:rsidR="00D556B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D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AB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ED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г.</w:t>
      </w:r>
    </w:p>
    <w:p w:rsidR="00ED7D2E" w:rsidRPr="00ED7D2E" w:rsidRDefault="00ED7D2E" w:rsidP="00ED7D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2090" w:rsidRDefault="00ED7D2E" w:rsidP="005520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proofErr w:type="gramStart"/>
      <w:r w:rsidR="00CB0F0D" w:rsidRPr="00CB0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для проведения мероприятия:</w:t>
      </w:r>
      <w:r w:rsidR="00CB0F0D" w:rsidRPr="00CB0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268.1 Бюджетного кодекса Российской Федерации, ст. 9 Федерального закона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Контрольно-счетной палате муниципального образования  </w:t>
      </w:r>
      <w:r w:rsidR="00CB0F0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 район</w:t>
      </w:r>
      <w:r w:rsidR="00CB0F0D" w:rsidRPr="00CB0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утвержденное решением Думы от 26.04.2012г. № 200,  п. </w:t>
      </w:r>
      <w:r w:rsidR="00CB0F0D"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CB0F0D" w:rsidRPr="00CB0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деятельности Контрольно-счетной палаты </w:t>
      </w:r>
      <w:r w:rsidR="005520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Куйтунский район</w:t>
      </w:r>
      <w:r w:rsidR="00CB0F0D" w:rsidRPr="00CB0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201</w:t>
      </w:r>
      <w:r w:rsidR="0055209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B0F0D" w:rsidRPr="00CB0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  <w:proofErr w:type="gramEnd"/>
    </w:p>
    <w:p w:rsidR="00CB0F0D" w:rsidRPr="00CB0F0D" w:rsidRDefault="00CB0F0D" w:rsidP="005520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мероприятия:</w:t>
      </w:r>
      <w:r w:rsidRPr="00CB0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налоговых </w:t>
      </w:r>
      <w:r w:rsidR="00552090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льгот и преимуществ</w:t>
      </w:r>
      <w:r w:rsidRPr="00CB0F0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определенных представительным органом местного самоуправления.</w:t>
      </w:r>
    </w:p>
    <w:p w:rsidR="00CB0F0D" w:rsidRPr="00CB0F0D" w:rsidRDefault="00CB0F0D" w:rsidP="00CB0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 мероприятия:</w:t>
      </w:r>
      <w:r w:rsidRPr="00CB0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эффективности предоставления налоговых </w:t>
      </w:r>
      <w:r w:rsidR="0055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иных </w:t>
      </w:r>
      <w:r w:rsidRPr="00CB0F0D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</w:t>
      </w:r>
      <w:r w:rsidR="0055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преимуществ</w:t>
      </w:r>
      <w:r w:rsidRPr="00CB0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</w:t>
      </w:r>
      <w:r w:rsidR="0055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Куйтунский район</w:t>
      </w:r>
      <w:r w:rsidRPr="00CB0F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0F0D" w:rsidRPr="00CB0F0D" w:rsidRDefault="00CB0F0D" w:rsidP="00CB0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Исследуемый период:</w:t>
      </w:r>
      <w:r w:rsidRPr="00CB0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55209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B0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текущий период 201</w:t>
      </w:r>
      <w:r w:rsidR="0055209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B0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B0F0D" w:rsidRPr="00CB0F0D" w:rsidRDefault="00CB0F0D" w:rsidP="00CB0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 мероприятия</w:t>
      </w:r>
      <w:r w:rsidRPr="00CB0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с </w:t>
      </w:r>
      <w:r w:rsidR="00552090">
        <w:rPr>
          <w:rFonts w:ascii="Times New Roman" w:eastAsia="Times New Roman" w:hAnsi="Times New Roman" w:cs="Times New Roman"/>
          <w:sz w:val="24"/>
          <w:szCs w:val="24"/>
          <w:lang w:eastAsia="ru-RU"/>
        </w:rPr>
        <w:t>24 июня</w:t>
      </w:r>
      <w:r w:rsidRPr="00CB0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</w:t>
      </w:r>
      <w:r w:rsidR="0055209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B0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209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Pr="00CB0F0D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 w:rsidR="0055209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B0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C81AB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приостановлено с 04.07. 201</w:t>
      </w:r>
      <w:r w:rsidR="00313DF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81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05.08.201</w:t>
      </w:r>
      <w:r w:rsidR="00313DF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81AB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продолжено с 05.08. 201</w:t>
      </w:r>
      <w:r w:rsidR="00313DF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81AB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18.08.201</w:t>
      </w:r>
      <w:r w:rsidR="00313DF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81AB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B0F0D" w:rsidRDefault="00CB0F0D" w:rsidP="00CB0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проведении экспертно-аналитического мероприятия  были </w:t>
      </w:r>
      <w:r w:rsidR="00F70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</w:t>
      </w:r>
      <w:r w:rsidRPr="00CB0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 следующие документы:</w:t>
      </w:r>
      <w:r w:rsidR="007A19C2" w:rsidRPr="007A19C2">
        <w:t xml:space="preserve"> </w:t>
      </w:r>
      <w:r w:rsidR="007C2A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A19C2" w:rsidRPr="007D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тчет формы № 5-МН за </w:t>
      </w:r>
      <w:r w:rsidR="007D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и </w:t>
      </w:r>
      <w:r w:rsidR="007A19C2" w:rsidRPr="007D123B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</w:t>
      </w:r>
      <w:r w:rsidR="007D123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A19C2" w:rsidRPr="007D12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A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представительных органов поселений о предоставлении налоговых льгот</w:t>
      </w:r>
      <w:r w:rsidR="007A19C2" w:rsidRPr="007A19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19C2" w:rsidRDefault="007A19C2" w:rsidP="00CB0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9C2" w:rsidRPr="007A19C2" w:rsidRDefault="007A19C2" w:rsidP="007A19C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7A19C2" w:rsidRPr="007A19C2" w:rsidRDefault="007A19C2" w:rsidP="007A19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7A19C2" w:rsidRPr="007A19C2" w:rsidRDefault="007A19C2" w:rsidP="007A19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7A19C2">
        <w:rPr>
          <w:rFonts w:ascii="Times New Roman" w:eastAsia="Calibri" w:hAnsi="Times New Roman" w:cs="Times New Roman"/>
          <w:sz w:val="24"/>
        </w:rPr>
        <w:t xml:space="preserve">Обследование эффективности предоставления налоговых </w:t>
      </w:r>
      <w:r>
        <w:rPr>
          <w:rFonts w:ascii="Times New Roman" w:eastAsia="Calibri" w:hAnsi="Times New Roman" w:cs="Times New Roman"/>
          <w:sz w:val="24"/>
        </w:rPr>
        <w:t xml:space="preserve">и иных </w:t>
      </w:r>
      <w:r w:rsidRPr="007A19C2">
        <w:rPr>
          <w:rFonts w:ascii="Times New Roman" w:eastAsia="Calibri" w:hAnsi="Times New Roman" w:cs="Times New Roman"/>
          <w:sz w:val="24"/>
        </w:rPr>
        <w:t>льгот</w:t>
      </w:r>
      <w:r>
        <w:rPr>
          <w:rFonts w:ascii="Times New Roman" w:eastAsia="Calibri" w:hAnsi="Times New Roman" w:cs="Times New Roman"/>
          <w:sz w:val="24"/>
        </w:rPr>
        <w:t xml:space="preserve"> и преимуществ</w:t>
      </w:r>
      <w:r w:rsidRPr="007A19C2">
        <w:rPr>
          <w:rFonts w:ascii="Times New Roman" w:eastAsia="Calibri" w:hAnsi="Times New Roman" w:cs="Times New Roman"/>
          <w:sz w:val="24"/>
        </w:rPr>
        <w:t xml:space="preserve"> подготовлено Контрольно–счетной палатой </w:t>
      </w:r>
      <w:r>
        <w:rPr>
          <w:rFonts w:ascii="Times New Roman" w:eastAsia="Calibri" w:hAnsi="Times New Roman" w:cs="Times New Roman"/>
          <w:sz w:val="24"/>
        </w:rPr>
        <w:t>МО Куйтунский район</w:t>
      </w:r>
      <w:r w:rsidRPr="007A19C2">
        <w:rPr>
          <w:rFonts w:ascii="Times New Roman" w:eastAsia="Calibri" w:hAnsi="Times New Roman" w:cs="Times New Roman"/>
          <w:sz w:val="24"/>
        </w:rPr>
        <w:t xml:space="preserve">,  основная цель проведения данного экспертно-аналитического мероприятия заключается в оценке эффективности предоставления налоговых </w:t>
      </w:r>
      <w:r>
        <w:rPr>
          <w:rFonts w:ascii="Times New Roman" w:eastAsia="Calibri" w:hAnsi="Times New Roman" w:cs="Times New Roman"/>
          <w:sz w:val="24"/>
        </w:rPr>
        <w:t xml:space="preserve">и иных </w:t>
      </w:r>
      <w:r w:rsidRPr="007A19C2">
        <w:rPr>
          <w:rFonts w:ascii="Times New Roman" w:eastAsia="Calibri" w:hAnsi="Times New Roman" w:cs="Times New Roman"/>
          <w:sz w:val="24"/>
        </w:rPr>
        <w:t>льгот</w:t>
      </w:r>
      <w:r>
        <w:rPr>
          <w:rFonts w:ascii="Times New Roman" w:eastAsia="Calibri" w:hAnsi="Times New Roman" w:cs="Times New Roman"/>
          <w:sz w:val="24"/>
        </w:rPr>
        <w:t xml:space="preserve"> и преимуществ</w:t>
      </w:r>
      <w:r w:rsidRPr="007A19C2">
        <w:rPr>
          <w:rFonts w:ascii="Times New Roman" w:eastAsia="Calibri" w:hAnsi="Times New Roman" w:cs="Times New Roman"/>
          <w:sz w:val="24"/>
        </w:rPr>
        <w:t xml:space="preserve"> на территории муниципального образования </w:t>
      </w:r>
      <w:r w:rsidR="007320B1">
        <w:rPr>
          <w:rFonts w:ascii="Times New Roman" w:eastAsia="Calibri" w:hAnsi="Times New Roman" w:cs="Times New Roman"/>
          <w:sz w:val="24"/>
        </w:rPr>
        <w:t xml:space="preserve">Куйтунский район за </w:t>
      </w:r>
      <w:r w:rsidRPr="007A19C2">
        <w:rPr>
          <w:rFonts w:ascii="Times New Roman" w:eastAsia="Calibri" w:hAnsi="Times New Roman" w:cs="Times New Roman"/>
          <w:sz w:val="24"/>
        </w:rPr>
        <w:t>2015</w:t>
      </w:r>
      <w:r w:rsidR="007320B1">
        <w:rPr>
          <w:rFonts w:ascii="Times New Roman" w:eastAsia="Calibri" w:hAnsi="Times New Roman" w:cs="Times New Roman"/>
          <w:sz w:val="24"/>
        </w:rPr>
        <w:t xml:space="preserve"> и текущий период 2016 года</w:t>
      </w:r>
      <w:r w:rsidRPr="007A19C2">
        <w:rPr>
          <w:rFonts w:ascii="Times New Roman" w:eastAsia="Calibri" w:hAnsi="Times New Roman" w:cs="Times New Roman"/>
          <w:sz w:val="24"/>
        </w:rPr>
        <w:t>.</w:t>
      </w:r>
    </w:p>
    <w:p w:rsidR="00D04BB0" w:rsidRDefault="00B57416" w:rsidP="00A35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Частью 2 статьи 15</w:t>
      </w:r>
      <w:r w:rsidR="005F14B7">
        <w:rPr>
          <w:rFonts w:ascii="Times New Roman" w:eastAsia="Calibri" w:hAnsi="Times New Roman" w:cs="Times New Roman"/>
          <w:sz w:val="24"/>
          <w:szCs w:val="24"/>
        </w:rPr>
        <w:t xml:space="preserve"> и частью 2 статьи 14</w:t>
      </w:r>
      <w:r w:rsidR="007A19C2" w:rsidRPr="007A19C2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«Об общих принципах организации местного самоуправления в Российской Федерации» установление, изменение и отмена местных налогов и сборов</w:t>
      </w:r>
      <w:r w:rsidR="005F14B7" w:rsidRPr="005F14B7">
        <w:t xml:space="preserve"> </w:t>
      </w:r>
      <w:r w:rsidR="005F14B7" w:rsidRPr="005F14B7">
        <w:rPr>
          <w:rFonts w:ascii="Times New Roman" w:hAnsi="Times New Roman" w:cs="Times New Roman"/>
          <w:sz w:val="24"/>
          <w:szCs w:val="24"/>
        </w:rPr>
        <w:t>отн</w:t>
      </w:r>
      <w:r w:rsidR="00D04BB0">
        <w:rPr>
          <w:rFonts w:ascii="Times New Roman" w:hAnsi="Times New Roman" w:cs="Times New Roman"/>
          <w:sz w:val="24"/>
          <w:szCs w:val="24"/>
        </w:rPr>
        <w:t>е</w:t>
      </w:r>
      <w:r w:rsidR="005F14B7" w:rsidRPr="005F14B7">
        <w:rPr>
          <w:rFonts w:ascii="Times New Roman" w:hAnsi="Times New Roman" w:cs="Times New Roman"/>
          <w:sz w:val="24"/>
          <w:szCs w:val="24"/>
        </w:rPr>
        <w:t>с</w:t>
      </w:r>
      <w:r w:rsidR="00D04BB0">
        <w:rPr>
          <w:rFonts w:ascii="Times New Roman" w:hAnsi="Times New Roman" w:cs="Times New Roman"/>
          <w:sz w:val="24"/>
          <w:szCs w:val="24"/>
        </w:rPr>
        <w:t>ены</w:t>
      </w:r>
      <w:r w:rsidR="005F14B7" w:rsidRPr="005F14B7">
        <w:rPr>
          <w:rFonts w:ascii="Times New Roman" w:hAnsi="Times New Roman" w:cs="Times New Roman"/>
          <w:sz w:val="24"/>
          <w:szCs w:val="24"/>
        </w:rPr>
        <w:t xml:space="preserve"> </w:t>
      </w:r>
      <w:r w:rsidR="005F14B7" w:rsidRPr="005F14B7">
        <w:rPr>
          <w:rFonts w:ascii="Times New Roman" w:eastAsia="Calibri" w:hAnsi="Times New Roman" w:cs="Times New Roman"/>
          <w:sz w:val="24"/>
          <w:szCs w:val="24"/>
        </w:rPr>
        <w:t>к вопросам местного значения муниципального района</w:t>
      </w:r>
      <w:r w:rsidR="00D04BB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F5E08" w:rsidRPr="008F5E08">
        <w:rPr>
          <w:rFonts w:ascii="Times New Roman" w:eastAsia="Calibri" w:hAnsi="Times New Roman" w:cs="Times New Roman"/>
          <w:sz w:val="24"/>
          <w:szCs w:val="24"/>
        </w:rPr>
        <w:t>городского, сельского поселения</w:t>
      </w:r>
      <w:r w:rsidR="00D04BB0">
        <w:rPr>
          <w:rFonts w:ascii="Times New Roman" w:eastAsia="Calibri" w:hAnsi="Times New Roman" w:cs="Times New Roman"/>
          <w:sz w:val="24"/>
          <w:szCs w:val="24"/>
        </w:rPr>
        <w:t>.</w:t>
      </w:r>
      <w:r w:rsidR="00D04BB0" w:rsidRPr="00D04BB0">
        <w:t xml:space="preserve"> </w:t>
      </w:r>
      <w:r w:rsidR="00D04BB0" w:rsidRPr="00D04BB0">
        <w:rPr>
          <w:rFonts w:ascii="Times New Roman" w:eastAsia="Calibri" w:hAnsi="Times New Roman" w:cs="Times New Roman"/>
          <w:sz w:val="24"/>
          <w:szCs w:val="24"/>
        </w:rPr>
        <w:t>Статьей 15 НК РФ установлено, что к местным налогам относятся: земельный налог и налог на имущество физических лиц.</w:t>
      </w:r>
    </w:p>
    <w:p w:rsidR="00A35997" w:rsidRDefault="00A35997" w:rsidP="00A35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997">
        <w:rPr>
          <w:rFonts w:ascii="Times New Roman" w:eastAsia="Calibri" w:hAnsi="Times New Roman" w:cs="Times New Roman"/>
          <w:sz w:val="24"/>
          <w:szCs w:val="24"/>
        </w:rPr>
        <w:t>Согласно статье  56 Налогового кодекса РФ льготами по налогам и сборам признаются предоставляемые отдельным категориям налогоплательщиков и плательщиков сборов</w:t>
      </w:r>
      <w:r w:rsidR="00D04BB0">
        <w:rPr>
          <w:rFonts w:ascii="Times New Roman" w:eastAsia="Calibri" w:hAnsi="Times New Roman" w:cs="Times New Roman"/>
          <w:sz w:val="24"/>
          <w:szCs w:val="24"/>
        </w:rPr>
        <w:t>,</w:t>
      </w:r>
      <w:r w:rsidRPr="00A35997">
        <w:rPr>
          <w:rFonts w:ascii="Times New Roman" w:eastAsia="Calibri" w:hAnsi="Times New Roman" w:cs="Times New Roman"/>
          <w:sz w:val="24"/>
          <w:szCs w:val="24"/>
        </w:rPr>
        <w:t xml:space="preserve"> предусмотренны</w:t>
      </w:r>
      <w:r w:rsidR="00D04BB0">
        <w:rPr>
          <w:rFonts w:ascii="Times New Roman" w:eastAsia="Calibri" w:hAnsi="Times New Roman" w:cs="Times New Roman"/>
          <w:sz w:val="24"/>
          <w:szCs w:val="24"/>
        </w:rPr>
        <w:t>х</w:t>
      </w:r>
      <w:r w:rsidRPr="00A35997">
        <w:rPr>
          <w:rFonts w:ascii="Times New Roman" w:eastAsia="Calibri" w:hAnsi="Times New Roman" w:cs="Times New Roman"/>
          <w:sz w:val="24"/>
          <w:szCs w:val="24"/>
        </w:rPr>
        <w:t xml:space="preserve"> законодательством о налогах и сборах</w:t>
      </w:r>
      <w:r w:rsidR="00D04BB0">
        <w:rPr>
          <w:rFonts w:ascii="Times New Roman" w:eastAsia="Calibri" w:hAnsi="Times New Roman" w:cs="Times New Roman"/>
          <w:sz w:val="24"/>
          <w:szCs w:val="24"/>
        </w:rPr>
        <w:t>,</w:t>
      </w:r>
      <w:r w:rsidRPr="00A35997">
        <w:rPr>
          <w:rFonts w:ascii="Times New Roman" w:eastAsia="Calibri" w:hAnsi="Times New Roman" w:cs="Times New Roman"/>
          <w:sz w:val="24"/>
          <w:szCs w:val="24"/>
        </w:rPr>
        <w:t xml:space="preserve"> преимущества по сравнению с другими налогоплательщиками или плательщиками сборов, включая возможность не уплачивать налог или сбор</w:t>
      </w:r>
      <w:r w:rsidR="00313DF0">
        <w:rPr>
          <w:rFonts w:ascii="Times New Roman" w:eastAsia="Calibri" w:hAnsi="Times New Roman" w:cs="Times New Roman"/>
          <w:sz w:val="24"/>
          <w:szCs w:val="24"/>
        </w:rPr>
        <w:t>,</w:t>
      </w:r>
      <w:r w:rsidRPr="00A35997">
        <w:rPr>
          <w:rFonts w:ascii="Times New Roman" w:eastAsia="Calibri" w:hAnsi="Times New Roman" w:cs="Times New Roman"/>
          <w:sz w:val="24"/>
          <w:szCs w:val="24"/>
        </w:rPr>
        <w:t xml:space="preserve"> либо уплачивать их в меньшем размере.</w:t>
      </w:r>
    </w:p>
    <w:p w:rsidR="00CB349A" w:rsidRDefault="008F5E08" w:rsidP="00023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3891" w:rsidRPr="00023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Имущественные налоги в структуре доходов консолидированного бюджета за 2015 год (таблица № 1) составляют 1,1% (или 9 641,9 тыс. рублей) от общей суммы </w:t>
      </w:r>
      <w:r w:rsidR="00023891" w:rsidRPr="000238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поступления всех доходов, в структуре доходов сельских поселений – 5,5% (или 9 641,9 тыс. рублей). Доходы от использования имущества, находящегося в муниципальной собственности в структуре доходов консолидированного бюджета за 2015 год составляют 1% (или  8 842,3 тыс. рублей) от общей суммы поступления всех доходов, в структуре доходов районного бюджета 1% (или 7 264,2 тыс. рублей), сельских поселений –</w:t>
      </w:r>
      <w:r w:rsidR="00023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0,9% (или 1 578,1 тыс. рублей).</w:t>
      </w:r>
      <w:r w:rsidR="00311FB4" w:rsidRPr="0031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311FB4" w:rsidRPr="00311FB4" w:rsidRDefault="00311FB4" w:rsidP="00023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B34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CB349A" w:rsidRPr="00CB34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отчета</w:t>
      </w:r>
      <w:proofErr w:type="gramEnd"/>
      <w:r w:rsidR="00CB349A" w:rsidRPr="00CB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консолидированного бюджета МО Куйтунский район за 2015 год доходы </w:t>
      </w:r>
      <w:r w:rsidR="00E407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консолидирован</w:t>
      </w:r>
      <w:r w:rsidR="00CB349A" w:rsidRPr="00CB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бюджета </w:t>
      </w:r>
      <w:r w:rsidR="00CB349A" w:rsidRPr="00CB34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уплаты земельного налога</w:t>
      </w:r>
      <w:r w:rsidR="00CB349A" w:rsidRPr="00CB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составили  8174 тыс. рублей, или 58,7% плановых показателей (13 922,2тыс. рублей), что на </w:t>
      </w:r>
      <w:r w:rsidR="00B44497" w:rsidRPr="00B44497">
        <w:rPr>
          <w:rFonts w:ascii="Times New Roman" w:eastAsia="Times New Roman" w:hAnsi="Times New Roman" w:cs="Times New Roman"/>
          <w:sz w:val="24"/>
          <w:szCs w:val="24"/>
          <w:lang w:eastAsia="ru-RU"/>
        </w:rPr>
        <w:t>3 264,1</w:t>
      </w:r>
      <w:r w:rsidR="00CB349A" w:rsidRPr="00B4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  <w:r w:rsidR="00B44497" w:rsidRPr="00B444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</w:t>
      </w:r>
      <w:r w:rsidR="00CB349A" w:rsidRPr="00B4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ьше поступившего объема </w:t>
      </w:r>
      <w:r w:rsidR="00B44497" w:rsidRPr="00B4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</w:t>
      </w:r>
      <w:r w:rsidR="00CB349A" w:rsidRPr="00B444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 в 2014</w:t>
      </w:r>
      <w:r w:rsidR="00CB349A" w:rsidRPr="00CB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  <w:r w:rsidRPr="0031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49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B349A" w:rsidRPr="00CB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оходы </w:t>
      </w:r>
      <w:r w:rsidR="00E407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консолидирова</w:t>
      </w:r>
      <w:r w:rsidR="00CB349A" w:rsidRPr="00CB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нного бюджета от уплаты </w:t>
      </w:r>
      <w:r w:rsidR="00CB349A" w:rsidRPr="00CB34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налога на имущество физических лиц</w:t>
      </w:r>
      <w:r w:rsidR="00CB349A" w:rsidRPr="00CB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составили 1 467,8тыс. рублей, или 116,1% плановых показателей (1 264,1тыс. рублей), что </w:t>
      </w:r>
      <w:r w:rsidR="00CB349A" w:rsidRPr="001D4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1D4A27" w:rsidRPr="001D4A27">
        <w:rPr>
          <w:rFonts w:ascii="Times New Roman" w:eastAsia="Times New Roman" w:hAnsi="Times New Roman" w:cs="Times New Roman"/>
          <w:sz w:val="24"/>
          <w:szCs w:val="24"/>
          <w:lang w:eastAsia="ru-RU"/>
        </w:rPr>
        <w:t>81,4</w:t>
      </w:r>
      <w:r w:rsidR="00CB349A" w:rsidRPr="001D4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  <w:r w:rsidR="001D4A27" w:rsidRPr="001D4A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</w:t>
      </w:r>
      <w:r w:rsidR="00CB349A" w:rsidRPr="001D4A27">
        <w:rPr>
          <w:rFonts w:ascii="Times New Roman" w:eastAsia="Times New Roman" w:hAnsi="Times New Roman" w:cs="Times New Roman"/>
          <w:sz w:val="24"/>
          <w:szCs w:val="24"/>
          <w:lang w:eastAsia="ru-RU"/>
        </w:rPr>
        <w:t>ьше</w:t>
      </w:r>
      <w:r w:rsidR="00CB349A" w:rsidRPr="00CB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поступившего объема налога на имущество физических лиц в 2014 году.</w:t>
      </w:r>
      <w:r w:rsidRPr="0031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EC39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39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11FB4" w:rsidRPr="00311FB4" w:rsidRDefault="00311FB4" w:rsidP="00311FB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Удельный вес налоговых и неналоговых доходов</w:t>
      </w:r>
    </w:p>
    <w:p w:rsidR="00311FB4" w:rsidRPr="00311FB4" w:rsidRDefault="00311FB4" w:rsidP="00311F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EC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EC3909" w:rsidRPr="00EC390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1</w:t>
      </w:r>
      <w:r w:rsidR="00EC39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1FB4">
        <w:rPr>
          <w:rFonts w:ascii="Times New Roman" w:eastAsia="Times New Roman" w:hAnsi="Times New Roman" w:cs="Times New Roman"/>
          <w:sz w:val="20"/>
          <w:szCs w:val="20"/>
          <w:lang w:eastAsia="ru-RU"/>
        </w:rPr>
        <w:t>%</w:t>
      </w:r>
    </w:p>
    <w:tbl>
      <w:tblPr>
        <w:tblW w:w="9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5"/>
        <w:gridCol w:w="1023"/>
        <w:gridCol w:w="1079"/>
        <w:gridCol w:w="1007"/>
        <w:gridCol w:w="1023"/>
        <w:gridCol w:w="1079"/>
        <w:gridCol w:w="1022"/>
      </w:tblGrid>
      <w:tr w:rsidR="00311FB4" w:rsidRPr="00311FB4" w:rsidTr="00311FB4">
        <w:tc>
          <w:tcPr>
            <w:tcW w:w="3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FB4" w:rsidRPr="00311FB4" w:rsidRDefault="00311FB4" w:rsidP="00311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3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FB4" w:rsidRPr="00311FB4" w:rsidRDefault="00311FB4" w:rsidP="00311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31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FB4" w:rsidRPr="00311FB4" w:rsidRDefault="00311FB4" w:rsidP="00311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первое полугодие б</w:t>
            </w:r>
            <w:r w:rsidRPr="0031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1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</w:tr>
      <w:tr w:rsidR="00311FB4" w:rsidRPr="00311FB4" w:rsidTr="00311FB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FB4" w:rsidRPr="00311FB4" w:rsidRDefault="00311FB4" w:rsidP="0031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FB4" w:rsidRPr="00311FB4" w:rsidRDefault="00311FB4" w:rsidP="00311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Консоли-</w:t>
            </w:r>
            <w:proofErr w:type="spellStart"/>
            <w:r w:rsidRPr="0031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дированн</w:t>
            </w:r>
            <w:proofErr w:type="spellEnd"/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FB4" w:rsidRPr="00311FB4" w:rsidRDefault="00311FB4" w:rsidP="00311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FB4" w:rsidRPr="00311FB4" w:rsidRDefault="00311FB4" w:rsidP="00311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</w:t>
            </w:r>
            <w:proofErr w:type="spellEnd"/>
            <w:r w:rsidRPr="0031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поселен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FB4" w:rsidRPr="00311FB4" w:rsidRDefault="00311FB4" w:rsidP="00311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Консоли-</w:t>
            </w:r>
            <w:proofErr w:type="spellStart"/>
            <w:r w:rsidRPr="0031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дированн</w:t>
            </w:r>
            <w:proofErr w:type="spellEnd"/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FB4" w:rsidRPr="00311FB4" w:rsidRDefault="00311FB4" w:rsidP="00311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FB4" w:rsidRPr="00311FB4" w:rsidRDefault="00311FB4" w:rsidP="00311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</w:t>
            </w:r>
            <w:proofErr w:type="spellEnd"/>
            <w:r w:rsidRPr="0031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поселен</w:t>
            </w:r>
          </w:p>
        </w:tc>
      </w:tr>
      <w:tr w:rsidR="00311FB4" w:rsidRPr="00311FB4" w:rsidTr="00311FB4"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FB4" w:rsidRPr="00311FB4" w:rsidRDefault="00311FB4" w:rsidP="00311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FB4" w:rsidRPr="00311FB4" w:rsidRDefault="00311FB4" w:rsidP="00311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FB4" w:rsidRPr="00311FB4" w:rsidRDefault="00311FB4" w:rsidP="00311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FB4" w:rsidRPr="00311FB4" w:rsidRDefault="00311FB4" w:rsidP="00311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FB4" w:rsidRPr="00311FB4" w:rsidRDefault="00311FB4" w:rsidP="00311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FB4" w:rsidRPr="00311FB4" w:rsidRDefault="00311FB4" w:rsidP="00311FB4">
            <w:pPr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FB4" w:rsidRPr="00311FB4" w:rsidRDefault="00311FB4" w:rsidP="00311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11FB4" w:rsidRPr="00311FB4" w:rsidTr="00311FB4"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FB4" w:rsidRPr="00311FB4" w:rsidRDefault="00311FB4" w:rsidP="00311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бюджета, всего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FB4" w:rsidRPr="00311FB4" w:rsidRDefault="00311FB4" w:rsidP="00311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FB4" w:rsidRPr="00311FB4" w:rsidRDefault="00311FB4" w:rsidP="00311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FB4" w:rsidRPr="00311FB4" w:rsidRDefault="00311FB4" w:rsidP="00311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FB4" w:rsidRPr="00311FB4" w:rsidRDefault="00311FB4" w:rsidP="00311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FB4" w:rsidRPr="00311FB4" w:rsidRDefault="00311FB4" w:rsidP="00311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FB4" w:rsidRPr="00311FB4" w:rsidRDefault="00311FB4" w:rsidP="00311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11FB4" w:rsidRPr="00311FB4" w:rsidTr="0034285A"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FB4" w:rsidRPr="00311FB4" w:rsidRDefault="00311FB4" w:rsidP="00311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FB4" w:rsidRPr="00311FB4" w:rsidRDefault="0034285A" w:rsidP="00311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FB4" w:rsidRPr="00311FB4" w:rsidRDefault="0034285A" w:rsidP="00311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FB4" w:rsidRPr="00311FB4" w:rsidRDefault="0034285A" w:rsidP="00311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B4" w:rsidRPr="00311FB4" w:rsidRDefault="00D178A4" w:rsidP="00311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FB4" w:rsidRPr="00311FB4" w:rsidRDefault="00EA0359" w:rsidP="00311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B4" w:rsidRPr="00311FB4" w:rsidRDefault="00D178A4" w:rsidP="00311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</w:t>
            </w:r>
          </w:p>
        </w:tc>
      </w:tr>
      <w:tr w:rsidR="00311FB4" w:rsidRPr="00311FB4" w:rsidTr="0034285A"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FB4" w:rsidRPr="00311FB4" w:rsidRDefault="00311FB4" w:rsidP="00311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Имущественные налоги</w:t>
            </w:r>
            <w:r w:rsidR="00342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342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="00342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FB4" w:rsidRPr="00311FB4" w:rsidRDefault="0034285A" w:rsidP="00311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FB4" w:rsidRPr="00311FB4" w:rsidRDefault="00311FB4" w:rsidP="00311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FB4" w:rsidRPr="00311FB4" w:rsidRDefault="0034285A" w:rsidP="00311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B4" w:rsidRPr="00311FB4" w:rsidRDefault="00D178A4" w:rsidP="00311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FB4" w:rsidRPr="00311FB4" w:rsidRDefault="00311FB4" w:rsidP="00311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B4" w:rsidRPr="00311FB4" w:rsidRDefault="00D178A4" w:rsidP="00311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</w:tr>
      <w:tr w:rsidR="00311FB4" w:rsidRPr="00311FB4" w:rsidTr="0034285A"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FB4" w:rsidRPr="00311FB4" w:rsidRDefault="00311FB4" w:rsidP="00311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11F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B4" w:rsidRPr="00311FB4" w:rsidRDefault="0034285A" w:rsidP="00311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28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FB4" w:rsidRPr="00311FB4" w:rsidRDefault="00311FB4" w:rsidP="00311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11F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FB4" w:rsidRPr="00311FB4" w:rsidRDefault="00EC3909" w:rsidP="00311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B4" w:rsidRPr="00311FB4" w:rsidRDefault="00D178A4" w:rsidP="00311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FB4" w:rsidRPr="00311FB4" w:rsidRDefault="00311FB4" w:rsidP="00311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11F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B4" w:rsidRPr="00311FB4" w:rsidRDefault="00D178A4" w:rsidP="00311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0,1</w:t>
            </w:r>
          </w:p>
        </w:tc>
      </w:tr>
      <w:tr w:rsidR="00311FB4" w:rsidRPr="00311FB4" w:rsidTr="0034285A"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FB4" w:rsidRPr="00311FB4" w:rsidRDefault="00311FB4" w:rsidP="00311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11F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Налог на землю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B4" w:rsidRPr="00311FB4" w:rsidRDefault="0034285A" w:rsidP="00311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FB4" w:rsidRPr="00311FB4" w:rsidRDefault="00311FB4" w:rsidP="00311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11F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FB4" w:rsidRPr="00311FB4" w:rsidRDefault="00EC3909" w:rsidP="00311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B4" w:rsidRPr="00311FB4" w:rsidRDefault="00D178A4" w:rsidP="00311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FB4" w:rsidRPr="00311FB4" w:rsidRDefault="00311FB4" w:rsidP="00311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11F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B4" w:rsidRPr="00311FB4" w:rsidRDefault="00D178A4" w:rsidP="00311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3,8</w:t>
            </w:r>
          </w:p>
        </w:tc>
      </w:tr>
      <w:tr w:rsidR="00311FB4" w:rsidRPr="00311FB4" w:rsidTr="0034285A"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FB4" w:rsidRPr="00311FB4" w:rsidRDefault="00311FB4" w:rsidP="00311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FB4" w:rsidRPr="00311FB4" w:rsidRDefault="0034285A" w:rsidP="00311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FB4" w:rsidRPr="00311FB4" w:rsidRDefault="0034285A" w:rsidP="00311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FB4" w:rsidRPr="00311FB4" w:rsidRDefault="0034285A" w:rsidP="00311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B4" w:rsidRPr="00311FB4" w:rsidRDefault="00D178A4" w:rsidP="00311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FB4" w:rsidRPr="00311FB4" w:rsidRDefault="00EA0359" w:rsidP="00311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B4" w:rsidRPr="00311FB4" w:rsidRDefault="00D178A4" w:rsidP="00311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</w:tbl>
    <w:p w:rsidR="00311FB4" w:rsidRPr="00311FB4" w:rsidRDefault="00311FB4" w:rsidP="00311F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E5B" w:rsidRPr="006E1E5B" w:rsidRDefault="00EC3909" w:rsidP="006E1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5ED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4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алоговым </w:t>
      </w:r>
      <w:r w:rsidR="00195ED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45E0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одексом</w:t>
      </w:r>
      <w:r w:rsidR="0019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E5B" w:rsidRPr="006E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 установлен перечень категорий налогоплательщиков, освобождаемых от уплаты </w:t>
      </w:r>
      <w:r w:rsidR="006E1E5B" w:rsidRPr="006E1E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земельного налога</w:t>
      </w:r>
      <w:r w:rsidR="006E1E5B" w:rsidRPr="006E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E1E5B" w:rsidRPr="006E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таким категориям, в частности, отнесены </w:t>
      </w:r>
      <w:r w:rsidR="0019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герои Советского Союза, Российской Федерации, </w:t>
      </w:r>
      <w:r w:rsidR="006E1E5B" w:rsidRPr="006E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инвалиды I и II групп, инвалиды с детства, физлица, имеющие право на </w:t>
      </w:r>
      <w:proofErr w:type="spellStart"/>
      <w:r w:rsidR="006E1E5B" w:rsidRPr="006E1E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соцподдержку</w:t>
      </w:r>
      <w:proofErr w:type="spellEnd"/>
      <w:r w:rsidR="006E1E5B" w:rsidRPr="006E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Законом о соц</w:t>
      </w:r>
      <w:r w:rsidR="006E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иальной </w:t>
      </w:r>
      <w:r w:rsidR="006E1E5B" w:rsidRPr="006E1E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 граждан, пострадавших от катастрофы на Чернобыльской АЭС</w:t>
      </w:r>
      <w:r w:rsidR="00195ED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ветераны и инвалиды Великой Отечественной войны, а также ветераны и инвалиды боевых действий</w:t>
      </w:r>
      <w:r w:rsidR="006E1E5B" w:rsidRPr="006E1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95EDC" w:rsidRPr="00195EDC">
        <w:rPr>
          <w:rFonts w:ascii="Times New Roman" w:hAnsi="Times New Roman" w:cs="Times New Roman"/>
          <w:sz w:val="24"/>
          <w:szCs w:val="24"/>
        </w:rPr>
        <w:t xml:space="preserve"> Д</w:t>
      </w:r>
      <w:r w:rsidR="00195EDC" w:rsidRPr="0019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r w:rsidR="00195ED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 w:rsidR="00195EDC" w:rsidRPr="00195EDC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категорий налогоплательщиков налоговая база при исчислении земельного налога уменьшается на необлагаемую сумму в размере 10 тыс. руб.</w:t>
      </w:r>
    </w:p>
    <w:p w:rsidR="006E1E5B" w:rsidRDefault="006E1E5B" w:rsidP="006E1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64 Бюджетного кодекса РФ предоставлено право муниципальными правовыми актами представительного органа муниципального образования </w:t>
      </w:r>
      <w:proofErr w:type="gramStart"/>
      <w:r w:rsidRPr="006E1E5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вводить</w:t>
      </w:r>
      <w:proofErr w:type="gramEnd"/>
      <w:r w:rsidRPr="006E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местные налоги, устанавливать  налоговые ставки по ним и предоставлять  налоговые льготы по местным налогам в пределах прав, предоставленных представительному органу муниципального образования законодательством Российской Федерации о налогах и сборах.</w:t>
      </w:r>
      <w:r w:rsidR="00B12419" w:rsidRPr="00B12419">
        <w:t xml:space="preserve"> </w:t>
      </w:r>
      <w:r w:rsidR="00B12419" w:rsidRPr="00B124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п.2 ст. 387 НК РФ при установлении налога нормативными правовыми актами представительных органов муниципальных образований могут также устанавливаться налоговые льготы, основания и порядок их применения, включая установление размера необлагаемой налогом суммы для отдельных категорий налогоплательщиков.</w:t>
      </w:r>
    </w:p>
    <w:p w:rsidR="00F601AA" w:rsidRPr="00F601AA" w:rsidRDefault="00F601AA" w:rsidP="00F60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образованием Куйтунский район решений о введении льгот и понижающих ставок по местным налогам и сборам на 2015 и 2016 годы не принимались (не было таких решений и ранее), </w:t>
      </w:r>
      <w:r w:rsidR="00F4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к. </w:t>
      </w:r>
      <w:r w:rsidRPr="00F60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имущественные налоги в районный бюджет не поступают. </w:t>
      </w:r>
      <w:r w:rsidR="00F45E08" w:rsidRPr="00F45E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уплаты налога на землю и налога на имущество физических лиц поступают в бюджеты соответствующих поселений.</w:t>
      </w:r>
      <w:r w:rsidR="00F4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Льготы по арендной плате от использования имущества, находящегося в муниципальной собственности на территории </w:t>
      </w:r>
      <w:r w:rsidRPr="00F601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Куйтунского района, и арендной плате за пользование земельными участками не устанавливались.</w:t>
      </w:r>
    </w:p>
    <w:p w:rsidR="00F601AA" w:rsidRDefault="00F601AA" w:rsidP="00F60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Представительными органами городского и сельских поселений Куйтунского муниципального района приняты решения о введении льгот по местным налогам и сборам - земельному налогу и налогу на имущество физических лиц.</w:t>
      </w:r>
      <w:r w:rsidR="00A61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целью предоставления налоговых льгот явил</w:t>
      </w:r>
      <w:r w:rsidR="00CB34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61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</w:t>
      </w:r>
      <w:r w:rsidR="00A61970" w:rsidRPr="00A61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поддержки социально незащищенным </w:t>
      </w:r>
      <w:r w:rsidR="00A61970" w:rsidRPr="0055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категориям граждан и </w:t>
      </w:r>
      <w:r w:rsidR="00550F1E" w:rsidRPr="00550F1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</w:t>
      </w:r>
      <w:r w:rsidR="0055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550F1E" w:rsidRPr="00550F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органов местного самоуправления, муниципальных учреждений</w:t>
      </w:r>
      <w:r w:rsidR="00550F1E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финансируемых из местного бюджета</w:t>
      </w:r>
      <w:r w:rsidR="00550F1E" w:rsidRPr="00550F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1E35" w:rsidRDefault="006E1E5B" w:rsidP="006E1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1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Решениями представительных органов всех поселений с 01.01.2015г. ставки </w:t>
      </w:r>
      <w:r w:rsidR="00311E35" w:rsidRPr="006E1E5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налога</w:t>
      </w:r>
      <w:r w:rsidR="0031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установлены в максимальном размере, предусмотренном ст. 394 НК РФ, а именно:</w:t>
      </w:r>
    </w:p>
    <w:p w:rsidR="00311E35" w:rsidRDefault="00311E35" w:rsidP="00EC3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1) 0,3% в отношении земельных участков сельхозназначения или в составе  зон сельхозиспользования в населенных пунктах и используемых для сельхозпроизводства; занятых жилищным фондом и объектами </w:t>
      </w:r>
      <w:r w:rsidR="009B04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инженерной инфраструктуры жилищно-коммунального комплекса или приобретенных (предоставленных) для жилищного строительства; приобретенных (предоставленных)  для личного подсобного хозяйства, садоводства, огородничества или животноводства, а также дачного хозяйства; ограниченных в обороте в соответствии с законодательством  РФ, предоставленных для обеспечения обороны, безопасности и таможенных нужд;</w:t>
      </w:r>
    </w:p>
    <w:p w:rsidR="009B0441" w:rsidRDefault="009B0441" w:rsidP="00EC3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1,5% в отношении прочих земельных участков.</w:t>
      </w:r>
    </w:p>
    <w:p w:rsidR="007A241B" w:rsidRDefault="007A241B" w:rsidP="00EC3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</w:t>
      </w:r>
      <w:r w:rsidRPr="007A24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экспертно-аналитического мероприятия, КСП проведен сравнительный анализ ставок по земельному налогу по вышеуказанным видам земельных участков, установленных в отдельных муниципальных образованиях Иркутской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Заларинский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7A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показал,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</w:t>
      </w:r>
      <w:r w:rsidRPr="007A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применяются одинаковые, но незначительно отличается перечень установленных льгот. Так, например, решением Думы Моисеевского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уплаты налога освобождены семьи, имеющие четырех и более детей. В большинстве поселений льготные категории налогоплательщиков такие же, как и в поселениях Куйтунского района. </w:t>
      </w:r>
    </w:p>
    <w:p w:rsidR="00B12419" w:rsidRDefault="00B12419" w:rsidP="00EC3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КСП </w:t>
      </w:r>
      <w:r w:rsidR="00870FA2" w:rsidRPr="007320D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3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редставлены решения </w:t>
      </w:r>
      <w:r w:rsidR="00755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r w:rsidRPr="007320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представительных органов поселений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A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земельного налога на их территориях.</w:t>
      </w:r>
    </w:p>
    <w:p w:rsidR="00EA3D5B" w:rsidRDefault="00973AF3" w:rsidP="00EC3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3D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Рассматриваемыми нормативными правовыми актами</w:t>
      </w:r>
      <w:r w:rsidR="00513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</w:t>
      </w:r>
      <w:r w:rsidR="00EA3D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образований от уплаты земельного налога дополнительно к установленным главой 31 НК РФ  освобождены налогоплательщики:</w:t>
      </w:r>
    </w:p>
    <w:p w:rsidR="00EA3D5B" w:rsidRDefault="00EA3D5B" w:rsidP="00EC3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6D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местного самоуправления и муниципальные учреждения,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финансируемые за счет средств местного бюджета;</w:t>
      </w:r>
    </w:p>
    <w:p w:rsidR="00973AF3" w:rsidRDefault="00EA3D5B" w:rsidP="00EC3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ветераны, участники</w:t>
      </w:r>
      <w:r w:rsidR="0071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инвалиды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</w:t>
      </w:r>
      <w:r w:rsidR="00C90C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1D08" w:rsidRDefault="00D11FE0" w:rsidP="00EC3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32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вышеперечисленных</w:t>
      </w:r>
      <w:r w:rsidR="00C9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установлены льготы по уплате земельного налога в отношении инвалидов </w:t>
      </w:r>
      <w:r w:rsidR="00C90C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C9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1F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Каразейском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Алкинском</w:t>
      </w:r>
      <w:proofErr w:type="spellEnd"/>
      <w:r w:rsidR="00F9721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Уховском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1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D11FE0">
        <w:rPr>
          <w:rFonts w:ascii="Times New Roman" w:eastAsia="Times New Roman" w:hAnsi="Times New Roman" w:cs="Times New Roman"/>
          <w:sz w:val="24"/>
          <w:szCs w:val="24"/>
          <w:lang w:eastAsia="ru-RU"/>
        </w:rPr>
        <w:t>Уянском</w:t>
      </w:r>
      <w:proofErr w:type="spellEnd"/>
      <w:r w:rsidRPr="00D11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сельских поселениях</w:t>
      </w:r>
      <w:r w:rsidR="00C9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9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Уховском сельском поселении в 2015году льгота была установлена для многодетных семей, имеющих 4 и более детей до достижения ими 18-летнего возраста.  </w:t>
      </w:r>
    </w:p>
    <w:p w:rsidR="00C90C93" w:rsidRDefault="00831D08" w:rsidP="00EC3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В</w:t>
      </w:r>
      <w:r w:rsidR="00C90C93" w:rsidRPr="00C9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нарушение п. 2 ст. 387 НК РФ</w:t>
      </w:r>
      <w:r w:rsidR="00C9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решениях представительных органов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Куйтунского городского поселения</w:t>
      </w:r>
      <w:r w:rsidR="00E5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r w:rsidR="00E500A2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Харикского</w:t>
      </w:r>
      <w:r w:rsidR="00F9721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Уховского</w:t>
      </w:r>
      <w:r w:rsidR="009751B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Новотельбинского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</w:t>
      </w:r>
      <w:r w:rsidR="00E500A2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E500A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9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указан размер предоставляемых налоговых льгот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7A49" w:rsidRPr="00C90C93" w:rsidRDefault="00AD7A49" w:rsidP="00EC3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Решением Думы от</w:t>
      </w:r>
      <w:r w:rsidR="003E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30.10.2015 № 13 Харикского сельского поселения, вступившего в силу с 01.01.2016г., </w:t>
      </w:r>
      <w:r w:rsidR="003E507C" w:rsidRPr="005F1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льготные категории налогоплательщиков не установлены</w:t>
      </w:r>
      <w:r w:rsidR="00F057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2931" w:rsidRPr="00622931">
        <w:t xml:space="preserve"> </w:t>
      </w:r>
      <w:r w:rsidR="0002227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году льготные категории налогоплательщиков не устанавливались</w:t>
      </w:r>
      <w:r w:rsidR="0062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 </w:t>
      </w:r>
      <w:proofErr w:type="spellStart"/>
      <w:r w:rsidR="0062293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Харикском</w:t>
      </w:r>
      <w:proofErr w:type="gramStart"/>
      <w:r w:rsidR="00F51F28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="00F51F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сть-Кадинском</w:t>
      </w:r>
      <w:proofErr w:type="spellEnd"/>
      <w:r w:rsidR="0062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02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0222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Новотельбинском</w:t>
      </w:r>
      <w:proofErr w:type="spellEnd"/>
      <w:r w:rsidR="0002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</w:t>
      </w:r>
      <w:r w:rsidR="00622931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поселениях и фактически льгота не предоставлялась</w:t>
      </w:r>
      <w:r w:rsidR="000222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отдельных поселениях льгота установлена только юридическим лицам: </w:t>
      </w:r>
      <w:proofErr w:type="gramStart"/>
      <w:r w:rsidR="00F51F2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Ленинское</w:t>
      </w:r>
      <w:proofErr w:type="gramEnd"/>
      <w:r w:rsidR="00F5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51F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Карымское</w:t>
      </w:r>
      <w:proofErr w:type="spellEnd"/>
      <w:r w:rsidR="00F5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Уховское, однако при этом по данным налоговой отчетности в Уховском поселении льгота предоставлена в 2015 г. 8 физическим </w:t>
      </w:r>
      <w:r w:rsidR="00F51F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лицам, в Ленинском сельском поселении – 4 физическим лицам. Данный факт указывает на необходимость инвентаризации налоговых льгот</w:t>
      </w:r>
      <w:r w:rsidR="002D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взаимосвязи с налоговыми органами по вопросам имущественных налогов.</w:t>
      </w:r>
    </w:p>
    <w:p w:rsidR="00973AF3" w:rsidRDefault="000A5455" w:rsidP="00EC3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Сумма земельного налога подлежит уплате в бюджет не позднее 1 февраля года, следующего за истекшим налоговым периодом. Сроки уплаты авансовых платежей – за 1,2,3 кварталы: 30 апреля, 31 июля и 31 октября соответственно.</w:t>
      </w:r>
      <w:r w:rsidR="006E1E5B" w:rsidRPr="006E1E5B">
        <w:t xml:space="preserve"> </w:t>
      </w:r>
      <w:r w:rsidR="006E1E5B" w:rsidRPr="006E1E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база для исчисления земельного налога определяется как кадастровая стоимость земельных участков, признаваемых объектом налогообложения в соответствии со ст. 389 НК РФ. Кадастровая стоимость земельного участка определяется в соответствии с земельным законодательством РФ.</w:t>
      </w:r>
    </w:p>
    <w:p w:rsidR="002C244E" w:rsidRDefault="002C244E" w:rsidP="00EC3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КСП проведен анализ количества налогоплательщиков, объектов налогообложения, налоговой базы, суммы начисленного налога на землю и налоговых льгот в поселениях Куйтунского района за 2014 и 2015год (приложения № 1 и № 2 к настоящему заключению). </w:t>
      </w:r>
    </w:p>
    <w:p w:rsidR="00661712" w:rsidRDefault="00661712" w:rsidP="00E862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61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отчет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6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налоговой службы «О налоговой базе и структур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начислений по местным налогам» </w:t>
      </w:r>
      <w:r w:rsidRPr="0066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год и за </w:t>
      </w:r>
      <w:r w:rsidRPr="0066171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6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(форма № 5-МН),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</w:t>
      </w:r>
      <w:r w:rsidRPr="0066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района зарегистрировано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2014г. 10307</w:t>
      </w:r>
      <w:r w:rsidRPr="0066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налогоплательщиков земельного налога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2015году – 10236 налогоплательщиков,</w:t>
      </w:r>
      <w:r w:rsidRPr="0066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2014г. 301 юридическое лицо и 10006 физических лиц, в 2015 году 165 юридических лиц и 10071 физическое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лицо.  </w:t>
      </w:r>
      <w:r w:rsidRPr="00661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6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годом, общее количество налогоплательщиков земельного налога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6171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6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</w:t>
      </w:r>
      <w:r w:rsidRPr="0066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илось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71 налогоплательщика</w:t>
      </w:r>
      <w:r w:rsidR="00E862F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Снижение произошло за счет уменьшения количества налогоплательщиков – юридических лиц. Данная категория налогоплательщиков уменьшилась почти во всех поселениях, за исключением Панагинского с/</w:t>
      </w:r>
      <w:proofErr w:type="gramStart"/>
      <w:r w:rsidR="00E862F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E8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Новотельбинского с/п.</w:t>
      </w:r>
      <w:r w:rsidR="00DC7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Наибольшее количество налогоплательщиков отмечается в городском поселении - 2668, а наименьшее в </w:t>
      </w:r>
      <w:proofErr w:type="spellStart"/>
      <w:r w:rsidR="00DC7FE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Панагинском</w:t>
      </w:r>
      <w:proofErr w:type="spellEnd"/>
      <w:r w:rsidR="00DC7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поселении – 4.</w:t>
      </w:r>
    </w:p>
    <w:p w:rsidR="00E862F9" w:rsidRDefault="00E862F9" w:rsidP="00EA03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62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Количество налогоплательщиков земельного налога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E862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применяющих налоговые</w:t>
      </w:r>
      <w:r w:rsidRPr="00E8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62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льготы</w:t>
      </w:r>
      <w:r w:rsidRPr="00E8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8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году: по физическим лицам - сократилось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223</w:t>
      </w:r>
      <w:r w:rsidRPr="00E8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налогоплательщик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8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юридическим лицам - </w:t>
      </w:r>
      <w:r w:rsidR="00E67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сократилось</w:t>
      </w:r>
      <w:r w:rsidRPr="00E8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</w:t>
      </w:r>
      <w:r w:rsidR="00E67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2015г. применяются налоговые льготы к </w:t>
      </w:r>
      <w:r w:rsidRPr="00E8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0359">
        <w:rPr>
          <w:rFonts w:ascii="Times New Roman" w:eastAsia="Times New Roman" w:hAnsi="Times New Roman" w:cs="Times New Roman"/>
          <w:sz w:val="24"/>
          <w:szCs w:val="24"/>
          <w:lang w:eastAsia="ru-RU"/>
        </w:rPr>
        <w:t>54 юридическим лицам и к 96 физическим лицам.</w:t>
      </w:r>
      <w:r w:rsidR="00DC7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DC7FE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Панагинском</w:t>
      </w:r>
      <w:proofErr w:type="spellEnd"/>
      <w:r w:rsidR="00DC7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Харикском, </w:t>
      </w:r>
      <w:proofErr w:type="spellStart"/>
      <w:r w:rsidR="00DC7F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Усть-кадинском</w:t>
      </w:r>
      <w:proofErr w:type="spellEnd"/>
      <w:r w:rsidR="00DC7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C7F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Новотельбинском</w:t>
      </w:r>
      <w:proofErr w:type="spellEnd"/>
      <w:r w:rsidR="00DC7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C7FE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Мингатуйском</w:t>
      </w:r>
      <w:proofErr w:type="spellEnd"/>
      <w:r w:rsidR="00DC7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Карымском, </w:t>
      </w:r>
      <w:proofErr w:type="spellStart"/>
      <w:r w:rsidR="00DC7FE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Тулюшском</w:t>
      </w:r>
      <w:proofErr w:type="spellEnd"/>
      <w:r w:rsidR="00DC7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поселениях отсутствует льготная категория физических лиц.</w:t>
      </w:r>
    </w:p>
    <w:p w:rsidR="00EA0359" w:rsidRDefault="00EA0359" w:rsidP="00EA03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Основную долю </w:t>
      </w:r>
      <w:r w:rsidRPr="00EA03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земельных участков, учтенных в базе данных налоговых органов,</w:t>
      </w:r>
      <w:r w:rsidRPr="00EA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земельные участки по физическим лицам. Их удельный вес по сравнению с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A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увеличился на 1,1%</w:t>
      </w:r>
      <w:r w:rsidRPr="00EA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составил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4,5</w:t>
      </w:r>
      <w:r w:rsidRPr="00EA0359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в абсолютном значении 8231 участок</w:t>
      </w:r>
      <w:r w:rsidRPr="00EA03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0359" w:rsidRDefault="00EA0359" w:rsidP="008B6F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35516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A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дельный вес </w:t>
      </w:r>
      <w:r w:rsidRPr="00EA03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земельных участков, в отношении которых исчислен земельный налог к уплате </w:t>
      </w:r>
      <w:r w:rsidRPr="00EA035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35516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A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 сравнению с 201</w:t>
      </w:r>
      <w:r w:rsidR="0035516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A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</w:t>
      </w:r>
      <w:r w:rsidR="00355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снизился на 0,7</w:t>
      </w:r>
      <w:r w:rsidRPr="00EA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процентных пункта (с </w:t>
      </w:r>
      <w:r w:rsidR="00355167">
        <w:rPr>
          <w:rFonts w:ascii="Times New Roman" w:eastAsia="Times New Roman" w:hAnsi="Times New Roman" w:cs="Times New Roman"/>
          <w:sz w:val="24"/>
          <w:szCs w:val="24"/>
          <w:lang w:eastAsia="ru-RU"/>
        </w:rPr>
        <w:t>96,6</w:t>
      </w:r>
      <w:r w:rsidRPr="00EA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35516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A035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551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A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9), в том числе по физическим лицам увеличился на </w:t>
      </w:r>
      <w:r w:rsidR="00355167">
        <w:rPr>
          <w:rFonts w:ascii="Times New Roman" w:eastAsia="Times New Roman" w:hAnsi="Times New Roman" w:cs="Times New Roman"/>
          <w:sz w:val="24"/>
          <w:szCs w:val="24"/>
          <w:lang w:eastAsia="ru-RU"/>
        </w:rPr>
        <w:t>172 земельных участка,</w:t>
      </w:r>
      <w:r w:rsidRPr="00EA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юридическим лицам произошло </w:t>
      </w:r>
      <w:r w:rsidR="00355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</w:t>
      </w:r>
      <w:r w:rsidRPr="00EA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</w:t>
      </w:r>
      <w:r w:rsidR="003551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</w:t>
      </w:r>
      <w:r w:rsidRPr="00EA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</w:t>
      </w:r>
      <w:r w:rsidR="0035516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которым исчислен земельный налог,</w:t>
      </w:r>
      <w:r w:rsidRPr="00EA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355167">
        <w:rPr>
          <w:rFonts w:ascii="Times New Roman" w:eastAsia="Times New Roman" w:hAnsi="Times New Roman" w:cs="Times New Roman"/>
          <w:sz w:val="24"/>
          <w:szCs w:val="24"/>
          <w:lang w:eastAsia="ru-RU"/>
        </w:rPr>
        <w:t>339</w:t>
      </w:r>
      <w:r w:rsidRPr="00EA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355167">
        <w:rPr>
          <w:rFonts w:ascii="Times New Roman" w:eastAsia="Times New Roman" w:hAnsi="Times New Roman" w:cs="Times New Roman"/>
          <w:sz w:val="24"/>
          <w:szCs w:val="24"/>
          <w:lang w:eastAsia="ru-RU"/>
        </w:rPr>
        <w:t>250.</w:t>
      </w:r>
      <w:proofErr w:type="gramEnd"/>
    </w:p>
    <w:p w:rsidR="008B6F9A" w:rsidRDefault="008B6F9A" w:rsidP="002C24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B6F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Налогооблагаемая база</w:t>
      </w:r>
      <w:r w:rsidRPr="008B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земельному налогу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 по поселениям</w:t>
      </w:r>
      <w:r w:rsidRPr="008B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</w:t>
      </w:r>
      <w:r w:rsidRPr="008B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илась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8B6F9A">
        <w:rPr>
          <w:rFonts w:ascii="Times New Roman" w:eastAsia="Times New Roman" w:hAnsi="Times New Roman" w:cs="Times New Roman"/>
          <w:sz w:val="24"/>
          <w:szCs w:val="24"/>
          <w:lang w:eastAsia="ru-RU"/>
        </w:rPr>
        <w:t>% к уровню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B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составил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3249,5</w:t>
      </w:r>
      <w:r w:rsidRPr="008B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B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B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3819,1тыс. руб.</w:t>
      </w:r>
      <w:r w:rsidRPr="008B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том числе по юридическим лицам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снизилась </w:t>
      </w:r>
      <w:r w:rsidRPr="008B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8B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и составила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1313,9тыс. руб.</w:t>
      </w:r>
      <w:r w:rsidRPr="008B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B6F9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B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207,6тыс. руб.</w:t>
      </w:r>
      <w:r w:rsidRPr="008B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 физическим лицам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увеличилась </w:t>
      </w:r>
      <w:r w:rsidRPr="008B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B6F9A">
        <w:rPr>
          <w:rFonts w:ascii="Times New Roman" w:eastAsia="Times New Roman" w:hAnsi="Times New Roman" w:cs="Times New Roman"/>
          <w:sz w:val="24"/>
          <w:szCs w:val="24"/>
          <w:lang w:eastAsia="ru-RU"/>
        </w:rPr>
        <w:t>% и составила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935,6</w:t>
      </w:r>
      <w:r w:rsidRPr="008B6F9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(в 201</w:t>
      </w:r>
      <w:r w:rsidR="002C24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B6F9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C24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44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B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44E">
        <w:rPr>
          <w:rFonts w:ascii="Times New Roman" w:eastAsia="Times New Roman" w:hAnsi="Times New Roman" w:cs="Times New Roman"/>
          <w:sz w:val="24"/>
          <w:szCs w:val="24"/>
          <w:lang w:eastAsia="ru-RU"/>
        </w:rPr>
        <w:t>1611,5тыс</w:t>
      </w:r>
      <w:proofErr w:type="gramEnd"/>
      <w:r w:rsidR="002C244E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руб.</w:t>
      </w:r>
      <w:r w:rsidRPr="008B6F9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C244E" w:rsidRDefault="002C244E" w:rsidP="002C24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244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C2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 исчислен </w:t>
      </w:r>
      <w:r w:rsidRPr="002C24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налог  на землю, подлежащий уплате в бюджет</w:t>
      </w:r>
      <w:r w:rsidRPr="002C2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общей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11173</w:t>
      </w:r>
      <w:r w:rsidRPr="002C2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C244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2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C2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11215тыс. руб.</w:t>
      </w:r>
      <w:r w:rsidRPr="002C244E">
        <w:rPr>
          <w:rFonts w:ascii="Times New Roman" w:eastAsia="Times New Roman" w:hAnsi="Times New Roman" w:cs="Times New Roman"/>
          <w:sz w:val="24"/>
          <w:szCs w:val="24"/>
          <w:lang w:eastAsia="ru-RU"/>
        </w:rPr>
        <w:t>). Сумма налога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C2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подлежащего уплате в </w:t>
      </w:r>
      <w:r w:rsidRPr="002C24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C2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юридическим лицам по сравнению с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C2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</w:t>
      </w:r>
      <w:r w:rsidRPr="002C2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илась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487 тыс. рублей и составила 5983</w:t>
      </w:r>
      <w:r w:rsidRPr="002C2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C244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2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6470</w:t>
      </w:r>
      <w:r w:rsidRPr="002C2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рублей). По физическим лицам сумма налога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C2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подлежащего уплате в 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увеличилась на </w:t>
      </w:r>
      <w:r w:rsidRPr="002C2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2C244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и составила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190</w:t>
      </w:r>
      <w:r w:rsidR="00E0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(в 2014г. – 4745тыс. руб.</w:t>
      </w:r>
      <w:r w:rsidRPr="002C244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74418" w:rsidRPr="002C244E" w:rsidRDefault="00674418" w:rsidP="002C24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4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2014 году были </w:t>
      </w:r>
      <w:r w:rsidRPr="00DA74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предоставлены льготы налогоплательщикам</w:t>
      </w:r>
      <w:r w:rsidRPr="00674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общей сумме 10011тыс. рублей, из них юридическим лицам – 9959тыс. руб., физическим лицам – 52тыс. руб., в 2015г. общая сумма предоставленных льгот значительно снизилась и составила 4232тыс. руб., из них юридическим лицам – 4167тыс. руб., физическим – 65 тыс. руб.</w:t>
      </w:r>
    </w:p>
    <w:p w:rsidR="002C244E" w:rsidRDefault="002C244E" w:rsidP="009628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E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C24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бюджет</w:t>
      </w:r>
      <w:r w:rsidR="00E4050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C2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поселений </w:t>
      </w:r>
      <w:r w:rsidR="00E4050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</w:t>
      </w:r>
      <w:r w:rsidRPr="002C2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района в </w:t>
      </w:r>
      <w:r w:rsidR="00E40509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Pr="002C2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Pr="00FF7E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поступило</w:t>
      </w:r>
      <w:r w:rsidRPr="002C2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509">
        <w:rPr>
          <w:rFonts w:ascii="Times New Roman" w:eastAsia="Times New Roman" w:hAnsi="Times New Roman" w:cs="Times New Roman"/>
          <w:sz w:val="24"/>
          <w:szCs w:val="24"/>
          <w:lang w:eastAsia="ru-RU"/>
        </w:rPr>
        <w:t>8174тыс. руб.</w:t>
      </w:r>
      <w:r w:rsidRPr="002C2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налога на землю, в 201</w:t>
      </w:r>
      <w:r w:rsidR="00E4050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C2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этот показатель составлял </w:t>
      </w:r>
      <w:r w:rsidR="00E40509">
        <w:rPr>
          <w:rFonts w:ascii="Times New Roman" w:eastAsia="Times New Roman" w:hAnsi="Times New Roman" w:cs="Times New Roman"/>
          <w:sz w:val="24"/>
          <w:szCs w:val="24"/>
          <w:lang w:eastAsia="ru-RU"/>
        </w:rPr>
        <w:t>1143</w:t>
      </w:r>
      <w:r w:rsidR="00AC7586">
        <w:rPr>
          <w:rFonts w:ascii="Times New Roman" w:eastAsia="Times New Roman" w:hAnsi="Times New Roman" w:cs="Times New Roman"/>
          <w:sz w:val="24"/>
          <w:szCs w:val="24"/>
          <w:lang w:eastAsia="ru-RU"/>
        </w:rPr>
        <w:t>8,1</w:t>
      </w:r>
      <w:r w:rsidRPr="002C2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</w:t>
      </w:r>
      <w:proofErr w:type="gramStart"/>
      <w:r w:rsidR="00AC75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первое полугодие 2016года поступления в бюджеты поселений от уплаты земельного налога составили в общей сумме 2905тыс. руб.</w:t>
      </w:r>
      <w:r w:rsidR="006E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78A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земельного налога в общих доходах бюджетов поселений в 2014г. составлял</w:t>
      </w:r>
      <w:r w:rsidR="0094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6,3%</w:t>
      </w:r>
      <w:r w:rsidR="00D178A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2015г. – 4,7%, в первом полугодии 2016г. – 3,8%.</w:t>
      </w:r>
      <w:r w:rsidR="00962815" w:rsidRPr="00962815">
        <w:t xml:space="preserve"> </w:t>
      </w:r>
      <w:r w:rsidR="00962815" w:rsidRPr="00962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Наибольшая сумма  </w:t>
      </w:r>
      <w:r w:rsidR="00962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</w:t>
      </w:r>
      <w:r w:rsidR="00962815" w:rsidRPr="009628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 поступила в 2015 году  в бюджет Куйтунского городского поселения (</w:t>
      </w:r>
      <w:r w:rsidR="00E94B91">
        <w:rPr>
          <w:rFonts w:ascii="Times New Roman" w:eastAsia="Times New Roman" w:hAnsi="Times New Roman" w:cs="Times New Roman"/>
          <w:sz w:val="24"/>
          <w:szCs w:val="24"/>
          <w:lang w:eastAsia="ru-RU"/>
        </w:rPr>
        <w:t>2085,7</w:t>
      </w:r>
      <w:r w:rsidR="00962815" w:rsidRPr="00962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рублей);</w:t>
      </w:r>
      <w:proofErr w:type="gramEnd"/>
      <w:r w:rsidR="00962815" w:rsidRPr="00962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наименьшая сумма – в бюджет Новотельбинского сельского поселения – </w:t>
      </w:r>
      <w:r w:rsidR="00E9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4,4 тыс. рублей. </w:t>
      </w:r>
    </w:p>
    <w:p w:rsidR="006E2316" w:rsidRDefault="006E2316" w:rsidP="00DA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4418" w:rsidRPr="006744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Недоимка</w:t>
      </w:r>
      <w:r w:rsidR="00674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уплате земельного налога по состоянию на 01.01.2015г. сложилась в сумме 1912,8тыс. руб., 59% из которой недоимка по Куйтунскому городскому поселению (1135,2тыс. руб.). По состоянию на 01.01.2016г. общая недоимка увеличилась на 49% и составила 2847,8тыс. руб.</w:t>
      </w:r>
      <w:r w:rsidR="00EA3DCA" w:rsidRPr="00EA3DCA">
        <w:t xml:space="preserve"> </w:t>
      </w:r>
      <w:r w:rsidR="00EA3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отметить, что</w:t>
      </w:r>
      <w:r w:rsidR="00EA3DCA" w:rsidRPr="00EA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в одном поселении недоимка на 01.01.2016г. не уменьшилась, </w:t>
      </w:r>
      <w:r w:rsidR="00EA3DCA" w:rsidRPr="00EA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EA3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наоборот,</w:t>
      </w:r>
      <w:r w:rsidR="00EA3DCA" w:rsidRPr="00EA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значительно увеличилась</w:t>
      </w:r>
      <w:r w:rsidR="00EA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Наиболее значительное увеличение недоимки произошло в Харикском сельском поселении – в </w:t>
      </w:r>
      <w:r w:rsidR="00EA3DCA" w:rsidRPr="00EA3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47раз</w:t>
      </w:r>
      <w:r w:rsidR="00EA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(!).</w:t>
      </w:r>
      <w:r w:rsidR="0089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8900D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Мингатуйско</w:t>
      </w:r>
      <w:r w:rsidR="00EA3DCA" w:rsidRPr="00EA3DC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="00EA3DCA" w:rsidRPr="00EA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</w:t>
      </w:r>
      <w:r w:rsidR="008900D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A3DCA" w:rsidRPr="00EA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раза, </w:t>
      </w:r>
      <w:r w:rsidR="0089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8900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Наратайском</w:t>
      </w:r>
      <w:proofErr w:type="spellEnd"/>
      <w:r w:rsidR="0089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3,6 раза, </w:t>
      </w:r>
      <w:r w:rsidR="00EA3DCA" w:rsidRPr="00EA3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Кундуйском</w:t>
      </w:r>
      <w:r w:rsidR="0089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900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Большекашелакском</w:t>
      </w:r>
      <w:proofErr w:type="spellEnd"/>
      <w:r w:rsidR="0089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Ленинском, </w:t>
      </w:r>
      <w:proofErr w:type="spellStart"/>
      <w:r w:rsidR="008900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Алкинском</w:t>
      </w:r>
      <w:proofErr w:type="spellEnd"/>
      <w:r w:rsidR="0089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более</w:t>
      </w:r>
      <w:proofErr w:type="gramStart"/>
      <w:r w:rsidR="008900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89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в 2раза</w:t>
      </w:r>
      <w:r w:rsidR="00EA3DCA" w:rsidRPr="00EA3D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4610" w:rsidRDefault="00CA4610" w:rsidP="002C244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4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видно из приведенных показателей, поступления от уплаты земельного налога имеют тенденцию к снижению, при этом значительно увеличивается недоимка.</w:t>
      </w:r>
    </w:p>
    <w:p w:rsidR="00754986" w:rsidRPr="00754986" w:rsidRDefault="00754986" w:rsidP="007549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549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налоговых льгот осуществл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ена КСП</w:t>
      </w:r>
      <w:r w:rsidRPr="00754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следующих критериев:</w:t>
      </w:r>
    </w:p>
    <w:p w:rsidR="00754986" w:rsidRDefault="00754986" w:rsidP="007549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4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754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 эффективность</w:t>
      </w:r>
      <w:r w:rsidRPr="00754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социальные последствия налоговой льготы, определяемые показателями, отражающими значимость поддерживаемой с помощью налоговой льготы деятельности налогоплательщика, либо показателями, подтверждающими создание благоприятных условий развития инфраструктуры социальной сферы и повышение социальной защищенности населения (увеличение денежных средств, расходуемых отдельными категориями налогоплательщиков на социально значимые для муниципального образования цели в связи с предоставлением налоговых льгот).</w:t>
      </w:r>
      <w:proofErr w:type="gramEnd"/>
    </w:p>
    <w:p w:rsidR="00754986" w:rsidRPr="00754986" w:rsidRDefault="00754986" w:rsidP="007549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754986">
        <w:t xml:space="preserve"> </w:t>
      </w:r>
      <w:r w:rsidRPr="00754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бюджетная эффективность</w:t>
      </w:r>
      <w:r w:rsidRPr="00754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влияние налоговой льготы на формирование доходов,  проявляется в экономии бюджетных расходов на уплату налогов, минимизац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встречных финансовых потоков.</w:t>
      </w:r>
    </w:p>
    <w:p w:rsidR="009E08A9" w:rsidRPr="009E08A9" w:rsidRDefault="009E08A9" w:rsidP="009E0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Рассчитать </w:t>
      </w:r>
      <w:r w:rsidRPr="009E0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социальный эффект</w:t>
      </w:r>
      <w:r w:rsidRPr="009E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предоставленных налоговых льгот по налогу на землю (по физическим лицам) для каждой категории льготников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и инвалиды ВОВ</w:t>
      </w:r>
      <w:r w:rsidRPr="009E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многодетные семьи, инвалиды, имеющие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E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группу инвалидности) не предоставляется возможным. Общая сумма социального эффекта по перечисленным группам льготников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2015 год</w:t>
      </w:r>
      <w:r w:rsidRPr="009E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9E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E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677</w:t>
      </w:r>
      <w:r w:rsidRPr="009E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на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дного льготника. Учитывая факт</w:t>
      </w:r>
      <w:r w:rsidRPr="009E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ограниченности получаемых доходов</w:t>
      </w:r>
      <w:r w:rsidR="0067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льготной категории граждан</w:t>
      </w:r>
      <w:r w:rsidRPr="009E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исторически сложившейся практики предоставления льгот по земельному налогу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участникам и инвалидам ВОВ, многодетным семьям</w:t>
      </w:r>
      <w:r w:rsidRPr="009E08A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инвалидам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67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8A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E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E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</w:t>
      </w:r>
      <w:r w:rsidR="00673B28">
        <w:rPr>
          <w:rFonts w:ascii="Times New Roman" w:eastAsia="Times New Roman" w:hAnsi="Times New Roman" w:cs="Times New Roman"/>
          <w:sz w:val="24"/>
          <w:szCs w:val="24"/>
          <w:lang w:eastAsia="ru-RU"/>
        </w:rPr>
        <w:t>яемую</w:t>
      </w:r>
      <w:r w:rsidRPr="009E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льгот</w:t>
      </w:r>
      <w:r w:rsidR="00673B2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E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налогу на землю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признать социально</w:t>
      </w:r>
      <w:r w:rsidRPr="009E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1712" w:rsidRDefault="009E08A9" w:rsidP="009E0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E0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Бюджетный эффект</w:t>
      </w:r>
      <w:r w:rsidRPr="009E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 льгот</w:t>
      </w:r>
      <w:r w:rsidR="00AD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8A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 суммой выпадающих доходов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2015 год</w:t>
      </w:r>
      <w:r w:rsidRPr="009E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AD7CA2">
        <w:rPr>
          <w:rFonts w:ascii="Times New Roman" w:eastAsia="Times New Roman" w:hAnsi="Times New Roman" w:cs="Times New Roman"/>
          <w:sz w:val="24"/>
          <w:szCs w:val="24"/>
          <w:lang w:eastAsia="ru-RU"/>
        </w:rPr>
        <w:t>232</w:t>
      </w:r>
      <w:r w:rsidRPr="009E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AD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CA2" w:rsidRPr="00AD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том числе </w:t>
      </w:r>
      <w:r w:rsidR="00AD7CA2">
        <w:rPr>
          <w:rFonts w:ascii="Times New Roman" w:eastAsia="Times New Roman" w:hAnsi="Times New Roman" w:cs="Times New Roman"/>
          <w:sz w:val="24"/>
          <w:szCs w:val="24"/>
          <w:lang w:eastAsia="ru-RU"/>
        </w:rPr>
        <w:t>4167</w:t>
      </w:r>
      <w:r w:rsidR="00AD7CA2" w:rsidRPr="00AD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по юридическим л</w:t>
      </w:r>
      <w:r w:rsidR="00AD7CA2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ицам, по физическим лицам – 65</w:t>
      </w:r>
      <w:r w:rsidR="00AD7CA2" w:rsidRPr="00AD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рублей) </w:t>
      </w:r>
      <w:r w:rsidRPr="009E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низким удельным весом налога на землю в общей сумме </w:t>
      </w:r>
      <w:r w:rsidR="004D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налоговых и неналоговых </w:t>
      </w:r>
      <w:r w:rsidRPr="009E08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бюджета</w:t>
      </w:r>
      <w:r w:rsidR="004D396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Так, например, самый низкий</w:t>
      </w:r>
      <w:r w:rsidR="002C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удельный вес земельного налога в объеме налоговых и неналоговых доходов в </w:t>
      </w:r>
      <w:proofErr w:type="spellStart"/>
      <w:r w:rsidR="002C578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Новотельбинском</w:t>
      </w:r>
      <w:proofErr w:type="spellEnd"/>
      <w:r w:rsidR="002C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- 1,7%, самый высокий удельный вес поступлений земельного налога в Усть-Кадинском сельском поселении – 38,6%</w:t>
      </w:r>
      <w:r w:rsidR="00224F64">
        <w:rPr>
          <w:rFonts w:ascii="Times New Roman" w:eastAsia="Times New Roman" w:hAnsi="Times New Roman" w:cs="Times New Roman"/>
          <w:sz w:val="24"/>
          <w:szCs w:val="24"/>
          <w:lang w:eastAsia="ru-RU"/>
        </w:rPr>
        <w:t>; сумма, не поступившая в бюджет Новотельбинского поселения в 2015 году в связи с предоставлением льгот – 16 тыс. руб., в Усть-Кадинском поселении – 75тыс. руб</w:t>
      </w:r>
      <w:r w:rsidR="002C57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1712" w:rsidRDefault="00661712" w:rsidP="00EC3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4DC" w:rsidRDefault="00710D34" w:rsidP="00EC3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44DC" w:rsidRPr="006C5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 на имущество физических лиц</w:t>
      </w:r>
      <w:r w:rsidR="006C5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регламентируется главой 32 НК РФ</w:t>
      </w:r>
      <w:r w:rsidR="006C5B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5455" w:rsidRDefault="000A5455" w:rsidP="00EC3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Решениями представительных органов </w:t>
      </w:r>
      <w:r w:rsidR="0002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поселений на территории муниципальных образований ставки по </w:t>
      </w:r>
      <w:r w:rsidRPr="006C5B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налогу на имущество физических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установлены в зависимости от инвентаризационной стоимости объектов налогообложения, умноженной на коэффициент-дефлятор</w:t>
      </w:r>
      <w:r w:rsidR="00224F6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</w:t>
      </w:r>
      <w:r w:rsidR="00224F64" w:rsidRPr="00224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отношении объектов налогообложения, включенных в перечень согласно п.7, п.10 ст.378.2 НК РФ, в размере 2% кадастровой стоимости объектов.</w:t>
      </w:r>
    </w:p>
    <w:p w:rsidR="00224F64" w:rsidRDefault="00224F64" w:rsidP="00EC3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4F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имущество стоимостью до 300 000 рублей во всех поселениях установлена максимальная ставка, предусмотренная ст. 406 НК РФ (0,1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224F64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имущество стоимостью свыше 300 000 рублей до 500 000 рублей максимальная</w:t>
      </w:r>
      <w:r w:rsidR="00313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ставка (</w:t>
      </w:r>
      <w:r w:rsidRPr="00224F64">
        <w:rPr>
          <w:rFonts w:ascii="Times New Roman" w:eastAsia="Times New Roman" w:hAnsi="Times New Roman" w:cs="Times New Roman"/>
          <w:sz w:val="24"/>
          <w:szCs w:val="24"/>
          <w:lang w:eastAsia="ru-RU"/>
        </w:rPr>
        <w:t>0,3%) установлен</w:t>
      </w:r>
      <w:r w:rsidR="00313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</w:t>
      </w:r>
      <w:proofErr w:type="spellStart"/>
      <w:r w:rsidR="00313FF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Алкинском</w:t>
      </w:r>
      <w:proofErr w:type="spellEnd"/>
      <w:r w:rsidR="00313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13FF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Большекашелакском</w:t>
      </w:r>
      <w:proofErr w:type="spellEnd"/>
      <w:r w:rsidR="00313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</w:t>
      </w:r>
      <w:r w:rsidR="00730C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</w:t>
      </w:r>
      <w:r w:rsidR="00313FFE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сельских</w:t>
      </w:r>
      <w:r w:rsidRPr="00224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поселениях, на имущество стоимостью свыше 500 000 рублей самая высокая ставка (но не максимальная 2%) установлена в </w:t>
      </w:r>
      <w:proofErr w:type="spellStart"/>
      <w:r w:rsidR="00313FF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Алкинском</w:t>
      </w:r>
      <w:proofErr w:type="spellEnd"/>
      <w:r w:rsidR="00313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313FFE">
        <w:rPr>
          <w:rFonts w:ascii="Times New Roman" w:eastAsia="Times New Roman" w:hAnsi="Times New Roman" w:cs="Times New Roman"/>
          <w:sz w:val="24"/>
          <w:szCs w:val="24"/>
          <w:lang w:eastAsia="ru-RU"/>
        </w:rPr>
        <w:t>Бльшекашелакском</w:t>
      </w:r>
      <w:proofErr w:type="spellEnd"/>
      <w:r w:rsidRPr="00224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313FFE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224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13FF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24F64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="00730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Самые низкие ставки на имущество </w:t>
      </w:r>
      <w:proofErr w:type="spellStart"/>
      <w:r w:rsidR="00730CA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</w:t>
      </w:r>
      <w:proofErr w:type="gramStart"/>
      <w:r w:rsidR="00730CA9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730CA9">
        <w:rPr>
          <w:rFonts w:ascii="Times New Roman" w:eastAsia="Times New Roman" w:hAnsi="Times New Roman" w:cs="Times New Roman"/>
          <w:sz w:val="24"/>
          <w:szCs w:val="24"/>
          <w:lang w:eastAsia="ru-RU"/>
        </w:rPr>
        <w:t>иц</w:t>
      </w:r>
      <w:proofErr w:type="spellEnd"/>
      <w:r w:rsidR="00730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730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Наратайском</w:t>
      </w:r>
      <w:proofErr w:type="spellEnd"/>
      <w:r w:rsidR="00730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Усть-Кадинском сельских поселениях, причем на имущество стоимостью свыше 500 тыс. рублей – минимальные.</w:t>
      </w:r>
    </w:p>
    <w:p w:rsidR="00047192" w:rsidRDefault="00886A05" w:rsidP="00CB0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Ниже в таблице приведены ставки налога на имущество физических лиц, установленные решениями представительных органов поселений.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4"/>
        <w:gridCol w:w="1905"/>
        <w:gridCol w:w="1905"/>
        <w:gridCol w:w="1905"/>
        <w:gridCol w:w="1902"/>
      </w:tblGrid>
      <w:tr w:rsidR="00047192" w:rsidTr="00730CA9">
        <w:tc>
          <w:tcPr>
            <w:tcW w:w="1954" w:type="dxa"/>
            <w:vMerge w:val="restart"/>
          </w:tcPr>
          <w:p w:rsidR="00047192" w:rsidRDefault="00047192" w:rsidP="00CB0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7617" w:type="dxa"/>
            <w:gridSpan w:val="4"/>
          </w:tcPr>
          <w:p w:rsidR="00047192" w:rsidRDefault="00047192" w:rsidP="00CB0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sub_406041"/>
            <w:r w:rsidRPr="007A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Суммарная инвентаризационная стоимость объектов налогообложения, умноженная на коэффициент-дефлятор</w:t>
            </w:r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ставки, установленные решениями Думы поселений</w:t>
            </w:r>
          </w:p>
        </w:tc>
      </w:tr>
      <w:tr w:rsidR="00047192" w:rsidRPr="00047192" w:rsidTr="00730CA9">
        <w:tc>
          <w:tcPr>
            <w:tcW w:w="1954" w:type="dxa"/>
            <w:vMerge/>
          </w:tcPr>
          <w:p w:rsidR="00047192" w:rsidRDefault="00047192" w:rsidP="00CB0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</w:tcPr>
          <w:p w:rsidR="00047192" w:rsidRPr="007A5731" w:rsidRDefault="00047192" w:rsidP="005264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300 000 рублей включительно</w:t>
            </w:r>
          </w:p>
        </w:tc>
        <w:tc>
          <w:tcPr>
            <w:tcW w:w="1905" w:type="dxa"/>
          </w:tcPr>
          <w:p w:rsidR="00047192" w:rsidRDefault="00047192" w:rsidP="00CB0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300 000 до 500 000 рублей включительно</w:t>
            </w:r>
          </w:p>
        </w:tc>
        <w:tc>
          <w:tcPr>
            <w:tcW w:w="1905" w:type="dxa"/>
          </w:tcPr>
          <w:p w:rsidR="00047192" w:rsidRPr="007A5731" w:rsidRDefault="00047192" w:rsidP="005264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500 000 рублей</w:t>
            </w:r>
          </w:p>
        </w:tc>
        <w:tc>
          <w:tcPr>
            <w:tcW w:w="1902" w:type="dxa"/>
          </w:tcPr>
          <w:p w:rsidR="00047192" w:rsidRPr="00047192" w:rsidRDefault="00047192" w:rsidP="00CB0F0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Свыше 1 000 000 рублей</w:t>
            </w:r>
          </w:p>
        </w:tc>
      </w:tr>
      <w:tr w:rsidR="00730CA9" w:rsidTr="00730CA9">
        <w:tc>
          <w:tcPr>
            <w:tcW w:w="1954" w:type="dxa"/>
          </w:tcPr>
          <w:p w:rsidR="00730CA9" w:rsidRPr="00DA74E2" w:rsidRDefault="00730CA9" w:rsidP="00CB0F0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4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Ставка налога согласно  ст. 406 НК РФ</w:t>
            </w:r>
          </w:p>
        </w:tc>
        <w:tc>
          <w:tcPr>
            <w:tcW w:w="1905" w:type="dxa"/>
          </w:tcPr>
          <w:p w:rsidR="00730CA9" w:rsidRPr="00DA74E2" w:rsidRDefault="00730CA9" w:rsidP="00CB0F0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4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0,1 процента включительно</w:t>
            </w:r>
          </w:p>
        </w:tc>
        <w:tc>
          <w:tcPr>
            <w:tcW w:w="1905" w:type="dxa"/>
          </w:tcPr>
          <w:p w:rsidR="00730CA9" w:rsidRPr="00DA74E2" w:rsidRDefault="00730CA9" w:rsidP="00CB0F0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4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Свыше 0,1 до 0,3 процента включительно</w:t>
            </w:r>
          </w:p>
        </w:tc>
        <w:tc>
          <w:tcPr>
            <w:tcW w:w="1905" w:type="dxa"/>
          </w:tcPr>
          <w:p w:rsidR="00730CA9" w:rsidRPr="00DA74E2" w:rsidRDefault="00730CA9" w:rsidP="00AC34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4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Свыше 0,3 до 2,0 процент</w:t>
            </w:r>
            <w:r w:rsidR="00AC34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</w:t>
            </w:r>
            <w:r w:rsidRPr="00DA74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включительно</w:t>
            </w:r>
          </w:p>
        </w:tc>
        <w:tc>
          <w:tcPr>
            <w:tcW w:w="1902" w:type="dxa"/>
            <w:vMerge w:val="restart"/>
          </w:tcPr>
          <w:p w:rsidR="00730CA9" w:rsidRDefault="00730CA9" w:rsidP="00CB0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CA9" w:rsidTr="00730CA9">
        <w:tc>
          <w:tcPr>
            <w:tcW w:w="1954" w:type="dxa"/>
          </w:tcPr>
          <w:p w:rsidR="00730CA9" w:rsidRDefault="00730CA9" w:rsidP="00CB0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Иркутское, Ленинское, Лермонтовское,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Панагинское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Харикское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Уховское</w:t>
            </w:r>
          </w:p>
        </w:tc>
        <w:tc>
          <w:tcPr>
            <w:tcW w:w="1905" w:type="dxa"/>
          </w:tcPr>
          <w:p w:rsidR="00730CA9" w:rsidRDefault="00730CA9" w:rsidP="00313F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05" w:type="dxa"/>
          </w:tcPr>
          <w:p w:rsidR="00730CA9" w:rsidRDefault="00730CA9" w:rsidP="00313F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905" w:type="dxa"/>
          </w:tcPr>
          <w:p w:rsidR="00730CA9" w:rsidRDefault="00730CA9" w:rsidP="00313F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02" w:type="dxa"/>
            <w:vMerge/>
          </w:tcPr>
          <w:p w:rsidR="00730CA9" w:rsidRPr="00FC5ECD" w:rsidRDefault="00730CA9" w:rsidP="00CB0F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CA9" w:rsidTr="00730CA9">
        <w:tc>
          <w:tcPr>
            <w:tcW w:w="1954" w:type="dxa"/>
          </w:tcPr>
          <w:p w:rsidR="00730CA9" w:rsidRDefault="00730CA9" w:rsidP="00CB0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Куйтунское городское</w:t>
            </w:r>
          </w:p>
        </w:tc>
        <w:tc>
          <w:tcPr>
            <w:tcW w:w="1905" w:type="dxa"/>
          </w:tcPr>
          <w:p w:rsidR="00730CA9" w:rsidRDefault="00730CA9" w:rsidP="00313F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05" w:type="dxa"/>
          </w:tcPr>
          <w:p w:rsidR="00730CA9" w:rsidRDefault="00730CA9" w:rsidP="00313F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905" w:type="dxa"/>
          </w:tcPr>
          <w:p w:rsidR="00730CA9" w:rsidRDefault="00730CA9" w:rsidP="00313F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902" w:type="dxa"/>
            <w:vMerge/>
          </w:tcPr>
          <w:p w:rsidR="00730CA9" w:rsidRPr="00FC5ECD" w:rsidRDefault="00730CA9" w:rsidP="00CB0F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CA9" w:rsidTr="00730CA9">
        <w:tc>
          <w:tcPr>
            <w:tcW w:w="1954" w:type="dxa"/>
          </w:tcPr>
          <w:p w:rsidR="00730CA9" w:rsidRPr="00FC5ECD" w:rsidRDefault="00730CA9" w:rsidP="00CB0F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Алкинское</w:t>
            </w:r>
            <w:proofErr w:type="spellEnd"/>
          </w:p>
        </w:tc>
        <w:tc>
          <w:tcPr>
            <w:tcW w:w="1905" w:type="dxa"/>
          </w:tcPr>
          <w:p w:rsidR="00730CA9" w:rsidRDefault="00730CA9" w:rsidP="00313F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05" w:type="dxa"/>
          </w:tcPr>
          <w:p w:rsidR="00730CA9" w:rsidRDefault="00730CA9" w:rsidP="00313F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905" w:type="dxa"/>
          </w:tcPr>
          <w:p w:rsidR="00730CA9" w:rsidRDefault="00730CA9" w:rsidP="00313F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2" w:type="dxa"/>
            <w:vMerge/>
          </w:tcPr>
          <w:p w:rsidR="00730CA9" w:rsidRDefault="00730CA9" w:rsidP="00CB0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CA9" w:rsidTr="00730CA9">
        <w:tc>
          <w:tcPr>
            <w:tcW w:w="1954" w:type="dxa"/>
          </w:tcPr>
          <w:p w:rsidR="00730CA9" w:rsidRPr="00FC5ECD" w:rsidRDefault="00730CA9" w:rsidP="00CB0F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Андрюшинское</w:t>
            </w:r>
            <w:proofErr w:type="spellEnd"/>
          </w:p>
        </w:tc>
        <w:tc>
          <w:tcPr>
            <w:tcW w:w="1905" w:type="dxa"/>
          </w:tcPr>
          <w:p w:rsidR="00730CA9" w:rsidRDefault="00730CA9" w:rsidP="00313F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05" w:type="dxa"/>
          </w:tcPr>
          <w:p w:rsidR="00730CA9" w:rsidRDefault="00730CA9" w:rsidP="00313F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905" w:type="dxa"/>
          </w:tcPr>
          <w:p w:rsidR="00730CA9" w:rsidRDefault="00730CA9" w:rsidP="00313F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902" w:type="dxa"/>
            <w:vMerge/>
          </w:tcPr>
          <w:p w:rsidR="00730CA9" w:rsidRDefault="00730CA9" w:rsidP="00CB0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CA9" w:rsidTr="00730CA9">
        <w:tc>
          <w:tcPr>
            <w:tcW w:w="1954" w:type="dxa"/>
          </w:tcPr>
          <w:p w:rsidR="00730CA9" w:rsidRPr="00FC5ECD" w:rsidRDefault="00730CA9" w:rsidP="00CB0F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Барлукское</w:t>
            </w:r>
            <w:proofErr w:type="spellEnd"/>
          </w:p>
        </w:tc>
        <w:tc>
          <w:tcPr>
            <w:tcW w:w="1905" w:type="dxa"/>
          </w:tcPr>
          <w:p w:rsidR="00730CA9" w:rsidRDefault="00730CA9" w:rsidP="00313F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05" w:type="dxa"/>
          </w:tcPr>
          <w:p w:rsidR="00730CA9" w:rsidRDefault="00730CA9" w:rsidP="00313F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905" w:type="dxa"/>
          </w:tcPr>
          <w:p w:rsidR="00730CA9" w:rsidRDefault="00730CA9" w:rsidP="00313F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902" w:type="dxa"/>
            <w:vMerge/>
          </w:tcPr>
          <w:p w:rsidR="00730CA9" w:rsidRDefault="00730CA9" w:rsidP="00CB0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CA9" w:rsidTr="00730CA9">
        <w:tc>
          <w:tcPr>
            <w:tcW w:w="1954" w:type="dxa"/>
          </w:tcPr>
          <w:p w:rsidR="00730CA9" w:rsidRPr="00FC5ECD" w:rsidRDefault="00730CA9" w:rsidP="00CB0F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Большекашелакское</w:t>
            </w:r>
            <w:proofErr w:type="spellEnd"/>
          </w:p>
        </w:tc>
        <w:tc>
          <w:tcPr>
            <w:tcW w:w="1905" w:type="dxa"/>
          </w:tcPr>
          <w:p w:rsidR="00730CA9" w:rsidRDefault="00730CA9" w:rsidP="00CB0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05" w:type="dxa"/>
          </w:tcPr>
          <w:p w:rsidR="00730CA9" w:rsidRDefault="00730CA9" w:rsidP="00CB0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905" w:type="dxa"/>
          </w:tcPr>
          <w:p w:rsidR="00730CA9" w:rsidRDefault="00730CA9" w:rsidP="00CB0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2" w:type="dxa"/>
            <w:vMerge/>
          </w:tcPr>
          <w:p w:rsidR="00730CA9" w:rsidRDefault="00730CA9" w:rsidP="00CB0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ECD" w:rsidTr="00730CA9">
        <w:tc>
          <w:tcPr>
            <w:tcW w:w="1954" w:type="dxa"/>
          </w:tcPr>
          <w:p w:rsidR="00FC5ECD" w:rsidRPr="00FC5ECD" w:rsidRDefault="00FC5ECD" w:rsidP="00CB0F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Каразейское, </w:t>
            </w:r>
            <w:proofErr w:type="spellStart"/>
            <w:r w:rsidRPr="00FC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Мингатуйское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Тулюшское</w:t>
            </w:r>
            <w:proofErr w:type="spellEnd"/>
          </w:p>
        </w:tc>
        <w:tc>
          <w:tcPr>
            <w:tcW w:w="1905" w:type="dxa"/>
          </w:tcPr>
          <w:p w:rsidR="00FC5ECD" w:rsidRDefault="00FC5ECD" w:rsidP="00CB0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05" w:type="dxa"/>
          </w:tcPr>
          <w:p w:rsidR="00FC5ECD" w:rsidRDefault="00FC5ECD" w:rsidP="00CB0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905" w:type="dxa"/>
          </w:tcPr>
          <w:p w:rsidR="00FC5ECD" w:rsidRDefault="00FC5ECD" w:rsidP="00CB0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902" w:type="dxa"/>
          </w:tcPr>
          <w:p w:rsidR="00FC5ECD" w:rsidRDefault="00FC5ECD" w:rsidP="00CB0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</w:t>
            </w:r>
          </w:p>
        </w:tc>
      </w:tr>
      <w:tr w:rsidR="00730CA9" w:rsidTr="00730CA9">
        <w:tc>
          <w:tcPr>
            <w:tcW w:w="1954" w:type="dxa"/>
          </w:tcPr>
          <w:p w:rsidR="00730CA9" w:rsidRPr="00FC5ECD" w:rsidRDefault="00730CA9" w:rsidP="00CB0F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Карымское</w:t>
            </w:r>
            <w:proofErr w:type="spellEnd"/>
          </w:p>
        </w:tc>
        <w:tc>
          <w:tcPr>
            <w:tcW w:w="1905" w:type="dxa"/>
          </w:tcPr>
          <w:p w:rsidR="00730CA9" w:rsidRDefault="00730CA9" w:rsidP="00CB0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05" w:type="dxa"/>
          </w:tcPr>
          <w:p w:rsidR="00730CA9" w:rsidRDefault="00730CA9" w:rsidP="00CB0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905" w:type="dxa"/>
          </w:tcPr>
          <w:p w:rsidR="00730CA9" w:rsidRDefault="00730CA9" w:rsidP="00CB0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902" w:type="dxa"/>
            <w:vMerge w:val="restart"/>
          </w:tcPr>
          <w:p w:rsidR="00730CA9" w:rsidRDefault="00730CA9" w:rsidP="00CB0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CA9" w:rsidTr="00730CA9">
        <w:tc>
          <w:tcPr>
            <w:tcW w:w="1954" w:type="dxa"/>
          </w:tcPr>
          <w:p w:rsidR="00730CA9" w:rsidRPr="00FC5ECD" w:rsidRDefault="00730CA9" w:rsidP="00CB0F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Кундуйское</w:t>
            </w:r>
            <w:proofErr w:type="spellEnd"/>
          </w:p>
        </w:tc>
        <w:tc>
          <w:tcPr>
            <w:tcW w:w="1905" w:type="dxa"/>
          </w:tcPr>
          <w:p w:rsidR="00730CA9" w:rsidRDefault="00730CA9" w:rsidP="00CB0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05" w:type="dxa"/>
          </w:tcPr>
          <w:p w:rsidR="00730CA9" w:rsidRDefault="00730CA9" w:rsidP="00CB0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905" w:type="dxa"/>
          </w:tcPr>
          <w:p w:rsidR="00730CA9" w:rsidRDefault="00730CA9" w:rsidP="00CB0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902" w:type="dxa"/>
            <w:vMerge/>
          </w:tcPr>
          <w:p w:rsidR="00730CA9" w:rsidRDefault="00730CA9" w:rsidP="00CB0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CA9" w:rsidTr="00730CA9">
        <w:tc>
          <w:tcPr>
            <w:tcW w:w="1954" w:type="dxa"/>
          </w:tcPr>
          <w:p w:rsidR="00730CA9" w:rsidRPr="00FC5ECD" w:rsidRDefault="00730CA9" w:rsidP="00CB0F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Наратайское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Усть-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Кадинское</w:t>
            </w:r>
          </w:p>
        </w:tc>
        <w:tc>
          <w:tcPr>
            <w:tcW w:w="1905" w:type="dxa"/>
          </w:tcPr>
          <w:p w:rsidR="00730CA9" w:rsidRDefault="00730CA9" w:rsidP="00CB0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0,1</w:t>
            </w:r>
          </w:p>
        </w:tc>
        <w:tc>
          <w:tcPr>
            <w:tcW w:w="1905" w:type="dxa"/>
          </w:tcPr>
          <w:p w:rsidR="00730CA9" w:rsidRDefault="00730CA9" w:rsidP="00CB0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905" w:type="dxa"/>
          </w:tcPr>
          <w:p w:rsidR="00730CA9" w:rsidRDefault="00730CA9" w:rsidP="00CB0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902" w:type="dxa"/>
            <w:vMerge/>
          </w:tcPr>
          <w:p w:rsidR="00730CA9" w:rsidRDefault="00730CA9" w:rsidP="00CB0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CA9" w:rsidTr="00730CA9">
        <w:tc>
          <w:tcPr>
            <w:tcW w:w="1954" w:type="dxa"/>
          </w:tcPr>
          <w:p w:rsidR="00730CA9" w:rsidRPr="00FC5ECD" w:rsidRDefault="00730CA9" w:rsidP="00CB0F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Уянское</w:t>
            </w:r>
          </w:p>
        </w:tc>
        <w:tc>
          <w:tcPr>
            <w:tcW w:w="1905" w:type="dxa"/>
          </w:tcPr>
          <w:p w:rsidR="00730CA9" w:rsidRDefault="00730CA9" w:rsidP="00CB0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05" w:type="dxa"/>
          </w:tcPr>
          <w:p w:rsidR="00730CA9" w:rsidRDefault="00730CA9" w:rsidP="00CB0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905" w:type="dxa"/>
          </w:tcPr>
          <w:p w:rsidR="00730CA9" w:rsidRDefault="00730CA9" w:rsidP="00CB0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902" w:type="dxa"/>
            <w:vMerge/>
          </w:tcPr>
          <w:p w:rsidR="00730CA9" w:rsidRDefault="00730CA9" w:rsidP="00CB0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CA9" w:rsidTr="00730CA9">
        <w:tc>
          <w:tcPr>
            <w:tcW w:w="1954" w:type="dxa"/>
          </w:tcPr>
          <w:p w:rsidR="00730CA9" w:rsidRDefault="00730CA9" w:rsidP="00CB0F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Новотельбинское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Чеботарихинское</w:t>
            </w:r>
            <w:proofErr w:type="spellEnd"/>
          </w:p>
        </w:tc>
        <w:tc>
          <w:tcPr>
            <w:tcW w:w="1905" w:type="dxa"/>
          </w:tcPr>
          <w:p w:rsidR="00730CA9" w:rsidRDefault="00730CA9" w:rsidP="00CB0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05" w:type="dxa"/>
          </w:tcPr>
          <w:p w:rsidR="00730CA9" w:rsidRDefault="00730CA9" w:rsidP="00CB0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905" w:type="dxa"/>
          </w:tcPr>
          <w:p w:rsidR="00730CA9" w:rsidRDefault="00730CA9" w:rsidP="00CB0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902" w:type="dxa"/>
            <w:vMerge/>
          </w:tcPr>
          <w:p w:rsidR="00730CA9" w:rsidRDefault="00730CA9" w:rsidP="00CB0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7192" w:rsidRDefault="00047192" w:rsidP="00CB0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FB4" w:rsidRPr="00AC348B" w:rsidRDefault="00047192" w:rsidP="00CB0F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30855" w:rsidRPr="00AC3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Льготы по налогу на имущество физических лиц</w:t>
      </w:r>
      <w:r w:rsidR="00793CD4" w:rsidRPr="00AC3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поселениях </w:t>
      </w:r>
      <w:r w:rsidR="00630855" w:rsidRPr="00AC3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93CD4" w:rsidRPr="00AC3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решениями представительных органов </w:t>
      </w:r>
      <w:r w:rsidR="00630855" w:rsidRPr="00AC3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</w:t>
      </w:r>
      <w:r w:rsidR="00947FAF" w:rsidRPr="00AC3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устанавливались.</w:t>
      </w:r>
      <w:r w:rsidR="009A32E3" w:rsidRPr="00AC3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Льготы установлены только федеральным законодательством.</w:t>
      </w:r>
    </w:p>
    <w:p w:rsidR="00313DF0" w:rsidRDefault="00A8176F" w:rsidP="0093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13DF0" w:rsidRPr="00313DF0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 проведен анализ количества налогоплательщиков, объектов налогообложения, налоговой базы, суммы начисленного налога на землю и налоговых льгот в поселениях Куйтунского района за</w:t>
      </w:r>
      <w:r w:rsidR="0031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и 2015год (приложения №3 и №4</w:t>
      </w:r>
      <w:r w:rsidR="00313DF0" w:rsidRPr="0031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заключению). </w:t>
      </w:r>
    </w:p>
    <w:p w:rsidR="009347FE" w:rsidRPr="009347FE" w:rsidRDefault="00313DF0" w:rsidP="0093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47FE" w:rsidRPr="00934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отчета Федеральной налоговой службы «О налоговой базе и структуре начислений по местным налогам за 201</w:t>
      </w:r>
      <w:r w:rsidR="009347F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347FE" w:rsidRPr="0093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(форма № 5-МН), на территории </w:t>
      </w:r>
      <w:r w:rsidR="009347F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</w:t>
      </w:r>
      <w:r w:rsidR="009347FE" w:rsidRPr="0093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района </w:t>
      </w:r>
      <w:r w:rsidR="009347FE" w:rsidRPr="00D51B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зарегистрировано</w:t>
      </w:r>
      <w:r w:rsidR="009347FE" w:rsidRPr="0093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32E3">
        <w:rPr>
          <w:rFonts w:ascii="Times New Roman" w:eastAsia="Times New Roman" w:hAnsi="Times New Roman" w:cs="Times New Roman"/>
          <w:sz w:val="24"/>
          <w:szCs w:val="24"/>
          <w:lang w:eastAsia="ru-RU"/>
        </w:rPr>
        <w:t>8379</w:t>
      </w:r>
      <w:r w:rsidR="009347FE" w:rsidRPr="0093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201</w:t>
      </w:r>
      <w:r w:rsidR="009A32E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347FE" w:rsidRPr="009347F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A32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47FE" w:rsidRPr="0093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A32E3">
        <w:rPr>
          <w:rFonts w:ascii="Times New Roman" w:eastAsia="Times New Roman" w:hAnsi="Times New Roman" w:cs="Times New Roman"/>
          <w:sz w:val="24"/>
          <w:szCs w:val="24"/>
          <w:lang w:eastAsia="ru-RU"/>
        </w:rPr>
        <w:t>8187</w:t>
      </w:r>
      <w:r w:rsidR="009347FE" w:rsidRPr="009347FE">
        <w:rPr>
          <w:rFonts w:ascii="Times New Roman" w:eastAsia="Times New Roman" w:hAnsi="Times New Roman" w:cs="Times New Roman"/>
          <w:sz w:val="24"/>
          <w:szCs w:val="24"/>
          <w:lang w:eastAsia="ru-RU"/>
        </w:rPr>
        <w:t>) н</w:t>
      </w:r>
      <w:r w:rsidR="009347FE" w:rsidRPr="00D51B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алогоплательщиков </w:t>
      </w:r>
      <w:r w:rsidR="009347FE" w:rsidRPr="00934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налогу на имущество физических лиц</w:t>
      </w:r>
      <w:r w:rsidR="009A32E3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9347FE" w:rsidRPr="009347F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состоянию на 01.</w:t>
      </w:r>
      <w:r w:rsidR="009A32E3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9347FE" w:rsidRPr="009347F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A32E3">
        <w:rPr>
          <w:rFonts w:ascii="Times New Roman" w:eastAsia="Times New Roman" w:hAnsi="Times New Roman" w:cs="Times New Roman"/>
          <w:sz w:val="24"/>
          <w:szCs w:val="24"/>
          <w:lang w:eastAsia="ru-RU"/>
        </w:rPr>
        <w:t>5года</w:t>
      </w:r>
      <w:r w:rsidR="009347FE" w:rsidRPr="0093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численность постоянно проживающего населения составля</w:t>
      </w:r>
      <w:r w:rsidR="009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="009347FE" w:rsidRPr="0093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32E3">
        <w:rPr>
          <w:rFonts w:ascii="Times New Roman" w:eastAsia="Times New Roman" w:hAnsi="Times New Roman" w:cs="Times New Roman"/>
          <w:sz w:val="24"/>
          <w:szCs w:val="24"/>
          <w:lang w:eastAsia="ru-RU"/>
        </w:rPr>
        <w:t>29499</w:t>
      </w:r>
      <w:r w:rsidR="009347FE" w:rsidRPr="0093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9A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="009A32E3" w:rsidRPr="009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01.01.2016г. – 29001</w:t>
      </w:r>
      <w:r w:rsidR="009A32E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9A32E3" w:rsidRPr="009A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7FE" w:rsidRPr="0093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(сократилась на </w:t>
      </w:r>
      <w:r w:rsidR="009A32E3">
        <w:rPr>
          <w:rFonts w:ascii="Times New Roman" w:eastAsia="Times New Roman" w:hAnsi="Times New Roman" w:cs="Times New Roman"/>
          <w:sz w:val="24"/>
          <w:szCs w:val="24"/>
          <w:lang w:eastAsia="ru-RU"/>
        </w:rPr>
        <w:t>498</w:t>
      </w:r>
      <w:r w:rsidR="009347FE" w:rsidRPr="0093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человек).</w:t>
      </w:r>
    </w:p>
    <w:p w:rsidR="00B97F09" w:rsidRDefault="009347FE" w:rsidP="0093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Количество налогоплательщиков, которым исчислен налог на имущество физических лиц в 201</w:t>
      </w:r>
      <w:r w:rsidR="00D51B2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3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AC34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3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увеличилось по сравнению с 201</w:t>
      </w:r>
      <w:r w:rsidR="00D51B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3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на  </w:t>
      </w:r>
      <w:r w:rsidR="00D51B2F">
        <w:rPr>
          <w:rFonts w:ascii="Times New Roman" w:eastAsia="Times New Roman" w:hAnsi="Times New Roman" w:cs="Times New Roman"/>
          <w:sz w:val="24"/>
          <w:szCs w:val="24"/>
          <w:lang w:eastAsia="ru-RU"/>
        </w:rPr>
        <w:t>192</w:t>
      </w:r>
      <w:r w:rsidRPr="0093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налогоплательщика, при этом сократилось количество на </w:t>
      </w:r>
      <w:r w:rsidR="00D51B2F">
        <w:rPr>
          <w:rFonts w:ascii="Times New Roman" w:eastAsia="Times New Roman" w:hAnsi="Times New Roman" w:cs="Times New Roman"/>
          <w:sz w:val="24"/>
          <w:szCs w:val="24"/>
          <w:lang w:eastAsia="ru-RU"/>
        </w:rPr>
        <w:t>245</w:t>
      </w:r>
      <w:r w:rsidRPr="0093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D51B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алогоплательщик</w:t>
      </w:r>
      <w:r w:rsidR="00D51B2F" w:rsidRPr="00D51B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r w:rsidRPr="00D51B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которым  предоставлена налоговая льгота.</w:t>
      </w:r>
      <w:r w:rsidRPr="0093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48B" w:rsidRPr="00AC34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сумма льготы составляет 1246тыс. рублей (в 2014г. – 1551тыс. руб.).</w:t>
      </w:r>
      <w:r w:rsidR="00AC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47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категория лиц</w:t>
      </w:r>
      <w:r w:rsidR="00D51B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3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получивших налоговую льготу (в 201</w:t>
      </w:r>
      <w:r w:rsidR="00D51B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347F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51B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3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B2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3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</w:t>
      </w:r>
      <w:r w:rsidR="00D51B2F">
        <w:rPr>
          <w:rFonts w:ascii="Times New Roman" w:eastAsia="Times New Roman" w:hAnsi="Times New Roman" w:cs="Times New Roman"/>
          <w:sz w:val="24"/>
          <w:szCs w:val="24"/>
          <w:lang w:eastAsia="ru-RU"/>
        </w:rPr>
        <w:t>75чел.</w:t>
      </w:r>
      <w:r w:rsidRPr="009347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5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2015</w:t>
      </w:r>
      <w:r w:rsidRPr="009347F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51B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3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</w:t>
      </w:r>
      <w:r w:rsidR="00D51B2F">
        <w:rPr>
          <w:rFonts w:ascii="Times New Roman" w:eastAsia="Times New Roman" w:hAnsi="Times New Roman" w:cs="Times New Roman"/>
          <w:sz w:val="24"/>
          <w:szCs w:val="24"/>
          <w:lang w:eastAsia="ru-RU"/>
        </w:rPr>
        <w:t>030</w:t>
      </w:r>
      <w:r w:rsidRPr="0093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  <w:r w:rsidR="00D51B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3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это пенсионеры, получающие пенсии, назначаемые в порядке, установленном пенсионным законодательством РФ. </w:t>
      </w:r>
    </w:p>
    <w:p w:rsidR="008D0A54" w:rsidRDefault="00B97F09" w:rsidP="00CB0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6C43" w:rsidRPr="008A6C4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8A6C4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A6C43" w:rsidRPr="008A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 сравнению с 201</w:t>
      </w:r>
      <w:r w:rsidR="008A6C4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A6C43" w:rsidRPr="008A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</w:t>
      </w:r>
      <w:r w:rsidR="008A6C43" w:rsidRPr="008A6C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количество строений, помещений и сооружений, учтенных в базе налоговой инспекции</w:t>
      </w:r>
      <w:r w:rsidR="008A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6C43" w:rsidRPr="008A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увеличилось </w:t>
      </w:r>
      <w:r w:rsidR="008A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незначительно </w:t>
      </w:r>
      <w:r w:rsidR="008A6C43" w:rsidRPr="008A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8A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объектов </w:t>
      </w:r>
      <w:r w:rsidR="008A6C43" w:rsidRPr="008A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составило </w:t>
      </w:r>
      <w:r w:rsidR="008A6C43">
        <w:rPr>
          <w:rFonts w:ascii="Times New Roman" w:eastAsia="Times New Roman" w:hAnsi="Times New Roman" w:cs="Times New Roman"/>
          <w:sz w:val="24"/>
          <w:szCs w:val="24"/>
          <w:lang w:eastAsia="ru-RU"/>
        </w:rPr>
        <w:t>5153. Налоговая база (инвентаризационная стоимость) увеличилась на 186143тыс. руб.</w:t>
      </w:r>
    </w:p>
    <w:p w:rsidR="008A6C43" w:rsidRDefault="008A6C43" w:rsidP="00CB0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C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Сумма налога на имущество физических лиц, подлежащая уплате в бюджет</w:t>
      </w:r>
      <w:r w:rsidRPr="008A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A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сравнению с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A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увеличилась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60,5</w:t>
      </w:r>
      <w:r w:rsidRPr="008A6C4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A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132</w:t>
      </w:r>
      <w:r w:rsidRPr="008A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 составила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3003</w:t>
      </w:r>
      <w:r w:rsidRPr="008A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306A61" w:rsidRPr="00306A61" w:rsidRDefault="00962815" w:rsidP="0030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06A61" w:rsidRPr="0030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годового отчета за 201</w:t>
      </w:r>
      <w:r w:rsidR="00306A6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06A61" w:rsidRPr="0030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доход консолидированного бюджета </w:t>
      </w:r>
      <w:r w:rsidR="00306A6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</w:t>
      </w:r>
      <w:r w:rsidR="00306A61" w:rsidRPr="0030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района поступления от налога на имущество физических лиц составили </w:t>
      </w:r>
      <w:r w:rsidR="00306A61">
        <w:rPr>
          <w:rFonts w:ascii="Times New Roman" w:eastAsia="Times New Roman" w:hAnsi="Times New Roman" w:cs="Times New Roman"/>
          <w:sz w:val="24"/>
          <w:szCs w:val="24"/>
          <w:lang w:eastAsia="ru-RU"/>
        </w:rPr>
        <w:t>1467,8</w:t>
      </w:r>
      <w:r w:rsidR="00306A61" w:rsidRPr="0030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30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2014г. – 1549,2 тыс. руб., за первое полугодие 2016г. – </w:t>
      </w:r>
      <w:r w:rsidR="00F9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="00306A61">
        <w:rPr>
          <w:rFonts w:ascii="Times New Roman" w:eastAsia="Times New Roman" w:hAnsi="Times New Roman" w:cs="Times New Roman"/>
          <w:sz w:val="24"/>
          <w:szCs w:val="24"/>
          <w:lang w:eastAsia="ru-RU"/>
        </w:rPr>
        <w:t>44,4</w:t>
      </w:r>
      <w:r w:rsidR="009F0CA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руб.)</w:t>
      </w:r>
      <w:r w:rsidR="00306A61" w:rsidRPr="00306A6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Наибольшая сумма  налога на имущество поступила в 201</w:t>
      </w:r>
      <w:r w:rsidR="00CA461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06A61" w:rsidRPr="0030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 в бюджет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Куйтунского городского поселения (826,3</w:t>
      </w:r>
      <w:r w:rsidR="00306A61" w:rsidRPr="0030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рублей); наименьшая сумма –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Новотельбинского сельского поселения</w:t>
      </w:r>
      <w:r w:rsidR="00306A61" w:rsidRPr="0030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306A61" w:rsidRPr="00306A61">
        <w:rPr>
          <w:rFonts w:ascii="Times New Roman" w:eastAsia="Times New Roman" w:hAnsi="Times New Roman" w:cs="Times New Roman"/>
          <w:sz w:val="24"/>
          <w:szCs w:val="24"/>
          <w:lang w:eastAsia="ru-RU"/>
        </w:rPr>
        <w:t>3 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бюджет Наратайского поселения налог на имущество не поступал при наличии недоимки 21,2 тыс. руб.</w:t>
      </w:r>
      <w:r w:rsidR="00306A61" w:rsidRPr="0030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6A61" w:rsidRPr="00306A61" w:rsidRDefault="00306A61" w:rsidP="0030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Наибольший удельный вес налога на имущество физических лиц</w:t>
      </w:r>
      <w:r w:rsidR="00962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общей сумме налоговых и неналоговых доходов поселений</w:t>
      </w:r>
      <w:r w:rsidRPr="0030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отмечен в 201</w:t>
      </w:r>
      <w:r w:rsidR="0096281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0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в </w:t>
      </w:r>
      <w:r w:rsidR="0096281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Кундуйском сельском поселении</w:t>
      </w:r>
      <w:r w:rsidRPr="0030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62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7,1%, а наименьший в </w:t>
      </w:r>
      <w:proofErr w:type="spellStart"/>
      <w:r w:rsidR="009628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Новотельбинском</w:t>
      </w:r>
      <w:proofErr w:type="spellEnd"/>
      <w:r w:rsidR="00962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поселении – 0,1%</w:t>
      </w:r>
      <w:r w:rsidRPr="00306A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0A54" w:rsidRDefault="00E94B91" w:rsidP="00CB0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4B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Недоимка по уплате налога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имущество физических лиц</w:t>
      </w:r>
      <w:r w:rsidRPr="00E9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на 01.01.2015г. сложилась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902,1</w:t>
      </w:r>
      <w:r w:rsidRPr="00E94B9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руб., 59% из которой недоимка по Куйтунскому городскому поселению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533,8</w:t>
      </w:r>
      <w:r w:rsidRPr="00E9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руб.). </w:t>
      </w:r>
      <w:proofErr w:type="gramStart"/>
      <w:r w:rsidRPr="00E9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01.01.2016г. общая недоимка увеличилась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E9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и составила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1098,5</w:t>
      </w:r>
      <w:r w:rsidRPr="00E94B9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  <w:r w:rsidR="00EA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разрезе поселений по отдельным поселениям  недоимка уменьшилась (в Каразейском – на 69%, в Усть-Кадинском в 2,5раза, в </w:t>
      </w:r>
      <w:proofErr w:type="spellStart"/>
      <w:r w:rsidR="00EA3DC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Барлукском</w:t>
      </w:r>
      <w:proofErr w:type="spellEnd"/>
      <w:r w:rsidR="00EA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5%), а по отдельным поселениям значительно увеличилась (в </w:t>
      </w:r>
      <w:proofErr w:type="spellStart"/>
      <w:r w:rsidR="00EA3DC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Тулюшском</w:t>
      </w:r>
      <w:proofErr w:type="spellEnd"/>
      <w:r w:rsidR="00EA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2,6раза, в Лермонтовском и Кундуйском – в 2 раза). </w:t>
      </w:r>
      <w:proofErr w:type="gramEnd"/>
    </w:p>
    <w:p w:rsidR="00547E43" w:rsidRDefault="00547E43" w:rsidP="00CB0F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7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видно из приведенных показателей, поступления от уплаты земельного налога имеют тенденцию к снижению, при этом значительно увеличивается недоимка.</w:t>
      </w:r>
    </w:p>
    <w:p w:rsidR="000369DE" w:rsidRPr="00547E43" w:rsidRDefault="000369DE" w:rsidP="00CB0F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  <w:r w:rsidRPr="00036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Следует отметить, что наличие и рост недоимки налога на имущество физических лиц, земельного налога  указывает на  необходимость усиления контроля со стороны Администрации за своевременностью уплаты имущественных налогов.</w:t>
      </w:r>
    </w:p>
    <w:p w:rsidR="00F91220" w:rsidRDefault="008D0A54" w:rsidP="003A4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7E43" w:rsidRPr="00547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E94B91" w:rsidRPr="00547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оциальный эффект</w:t>
      </w:r>
      <w:r w:rsidR="00E94B91" w:rsidRPr="00E9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предоставленных налоговых льгот по налогу на имущество физическим лицам  </w:t>
      </w:r>
      <w:r w:rsidR="00547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выражается в объеме предоставленных льгот, которые в 2014г. составили 1551 тыс. руб., или 681,8 рублей на одного льготника, в 2015г. – 1246тыс. руб., </w:t>
      </w:r>
      <w:r w:rsidR="00E94B91" w:rsidRPr="00E9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547E43">
        <w:rPr>
          <w:rFonts w:ascii="Times New Roman" w:eastAsia="Times New Roman" w:hAnsi="Times New Roman" w:cs="Times New Roman"/>
          <w:sz w:val="24"/>
          <w:szCs w:val="24"/>
          <w:lang w:eastAsia="ru-RU"/>
        </w:rPr>
        <w:t>613,8</w:t>
      </w:r>
      <w:r w:rsidR="00E94B91" w:rsidRPr="00E9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на одного льготника. </w:t>
      </w:r>
    </w:p>
    <w:p w:rsidR="003A4E66" w:rsidRPr="003A4E66" w:rsidRDefault="00F91220" w:rsidP="003A4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A4E6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3A4E66" w:rsidRPr="003A4E66">
        <w:rPr>
          <w:rFonts w:ascii="Times New Roman" w:eastAsia="Times New Roman" w:hAnsi="Times New Roman" w:cs="Times New Roman"/>
          <w:sz w:val="24"/>
          <w:szCs w:val="24"/>
          <w:lang w:eastAsia="ru-RU"/>
        </w:rPr>
        <w:t>ьготы</w:t>
      </w:r>
      <w:r w:rsidR="003A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налогу на имущество,</w:t>
      </w:r>
      <w:r w:rsidR="003A4E66" w:rsidRPr="003A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предоставленные федеральным законодательством не имеют большого значения для консолидированного бюджета </w:t>
      </w:r>
      <w:r w:rsidR="003A4E6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</w:t>
      </w:r>
      <w:r w:rsidR="003A4E66" w:rsidRPr="003A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района и бюджетов поселений. </w:t>
      </w:r>
    </w:p>
    <w:p w:rsidR="00E94B91" w:rsidRPr="00E94B91" w:rsidRDefault="00E94B91" w:rsidP="00E94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B91" w:rsidRDefault="00E94B91" w:rsidP="00CB0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C51" w:rsidRDefault="002F6C51" w:rsidP="00CB0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4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 по результатам </w:t>
      </w:r>
      <w:r w:rsidR="00C24ED0" w:rsidRPr="000369DE">
        <w:rPr>
          <w:rFonts w:ascii="Times New Roman" w:hAnsi="Times New Roman" w:cs="Times New Roman"/>
          <w:b/>
          <w:sz w:val="24"/>
          <w:szCs w:val="24"/>
        </w:rPr>
        <w:t>проведения настоящего</w:t>
      </w:r>
      <w:r w:rsidR="00C24ED0" w:rsidRPr="000369DE">
        <w:rPr>
          <w:b/>
        </w:rPr>
        <w:t xml:space="preserve"> </w:t>
      </w:r>
      <w:r w:rsidR="00C24ED0" w:rsidRPr="00036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экспертно-аналитического мероприятия</w:t>
      </w:r>
      <w:r w:rsidR="00E407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4C77" w:rsidRDefault="00CA4C77" w:rsidP="00CB0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</w:t>
      </w:r>
      <w:r w:rsidR="00F45E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уплаты н</w:t>
      </w:r>
      <w:r w:rsidR="008370D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алог</w:t>
      </w:r>
      <w:r w:rsidR="00F45E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37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землю и налог</w:t>
      </w:r>
      <w:r w:rsidR="00F45E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37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имущество физических лиц поступают в бюджеты </w:t>
      </w:r>
      <w:r w:rsidR="00F4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соответствующих </w:t>
      </w:r>
      <w:r w:rsidR="008370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поселений</w:t>
      </w:r>
      <w:r w:rsidRPr="00CA4C77">
        <w:rPr>
          <w:rFonts w:ascii="Times New Roman" w:eastAsia="Times New Roman" w:hAnsi="Times New Roman" w:cs="Times New Roman"/>
          <w:sz w:val="24"/>
          <w:szCs w:val="24"/>
          <w:lang w:eastAsia="ru-RU"/>
        </w:rPr>
        <w:t>. Льготы по арендной плате от использования имущества, находящегося в муниципальной собственности на территории Куйтунского района, и арендной плате за пользование земельными участками не устанавливались.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</w:t>
      </w:r>
      <w:r w:rsidRPr="00CA4C7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предоставления налоговых и иных льгот и преимуще</w:t>
      </w:r>
      <w:proofErr w:type="gramStart"/>
      <w:r w:rsidRPr="00CA4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оводился на основе анализа  </w:t>
      </w:r>
      <w:r w:rsidRPr="00CA4C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A4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№ 5-МН «О налоговой базе и структуре начислений по местным налогам»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C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2014 и 2015 годы,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A4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представительных органов поселений о предоставлении налоговых льгот.</w:t>
      </w:r>
    </w:p>
    <w:p w:rsidR="00F10CC6" w:rsidRDefault="00E407EB" w:rsidP="00CB0F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06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07EB">
        <w:rPr>
          <w:rFonts w:ascii="Times New Roman" w:hAnsi="Times New Roman"/>
          <w:sz w:val="24"/>
          <w:szCs w:val="24"/>
        </w:rPr>
        <w:t xml:space="preserve"> </w:t>
      </w:r>
      <w:r w:rsidRPr="00023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Имущественные налоги в структуре доходов консолидированного бюджета за 2015 год составляют 1,1% (или 9 641,9 тыс. рублей) от общей суммы поступления всех доходов, в структуре доходов сельских поселений – 5,5% (или 9 641,9 тыс. рублей).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2015 год д</w:t>
      </w:r>
      <w:r w:rsidRPr="00CB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оходы </w:t>
      </w:r>
      <w:r w:rsidRPr="00CB34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уплаты земельного налога</w:t>
      </w:r>
      <w:r w:rsidRPr="00CB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составили  8174 тыс. рублей,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CB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уплаты </w:t>
      </w:r>
      <w:r w:rsidRPr="00CB34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налога на имущество физических лиц</w:t>
      </w:r>
      <w:r w:rsidRPr="00CB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составили 1 467,</w:t>
      </w:r>
      <w:r w:rsidR="00F912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B349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  <w:r w:rsidRPr="0031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Удельный вес имущественных налогов</w:t>
      </w:r>
      <w:r w:rsidR="00F10CC6">
        <w:rPr>
          <w:rFonts w:ascii="Times New Roman" w:hAnsi="Times New Roman"/>
          <w:sz w:val="24"/>
          <w:szCs w:val="24"/>
        </w:rPr>
        <w:t xml:space="preserve"> в общем объеме доходов поселений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F10CC6">
        <w:rPr>
          <w:rFonts w:ascii="Times New Roman" w:hAnsi="Times New Roman"/>
          <w:sz w:val="24"/>
          <w:szCs w:val="24"/>
        </w:rPr>
        <w:t xml:space="preserve">2015г. </w:t>
      </w:r>
      <w:r>
        <w:rPr>
          <w:rFonts w:ascii="Times New Roman" w:hAnsi="Times New Roman"/>
          <w:sz w:val="24"/>
          <w:szCs w:val="24"/>
        </w:rPr>
        <w:t xml:space="preserve">составил </w:t>
      </w:r>
      <w:r w:rsidR="00F10CC6">
        <w:rPr>
          <w:rFonts w:ascii="Times New Roman" w:hAnsi="Times New Roman"/>
          <w:sz w:val="24"/>
          <w:szCs w:val="24"/>
        </w:rPr>
        <w:t>5,5</w:t>
      </w:r>
      <w:r>
        <w:rPr>
          <w:rFonts w:ascii="Times New Roman" w:hAnsi="Times New Roman"/>
          <w:sz w:val="24"/>
          <w:szCs w:val="24"/>
        </w:rPr>
        <w:t>%, в том числе  земельно</w:t>
      </w:r>
      <w:r w:rsidR="00F91220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налог</w:t>
      </w:r>
      <w:r w:rsidR="00F9122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F10CC6">
        <w:rPr>
          <w:rFonts w:ascii="Times New Roman" w:hAnsi="Times New Roman"/>
          <w:sz w:val="24"/>
          <w:szCs w:val="24"/>
        </w:rPr>
        <w:t>4,7</w:t>
      </w:r>
      <w:r>
        <w:rPr>
          <w:rFonts w:ascii="Times New Roman" w:hAnsi="Times New Roman"/>
          <w:sz w:val="24"/>
          <w:szCs w:val="24"/>
        </w:rPr>
        <w:t>%, налог</w:t>
      </w:r>
      <w:r w:rsidR="00F9122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F10CC6">
        <w:rPr>
          <w:rFonts w:ascii="Times New Roman" w:hAnsi="Times New Roman"/>
          <w:sz w:val="24"/>
          <w:szCs w:val="24"/>
        </w:rPr>
        <w:t>на имущество физических лиц – 0,8</w:t>
      </w:r>
      <w:r>
        <w:rPr>
          <w:rFonts w:ascii="Times New Roman" w:hAnsi="Times New Roman"/>
          <w:sz w:val="24"/>
          <w:szCs w:val="24"/>
        </w:rPr>
        <w:t>%.</w:t>
      </w:r>
      <w:r w:rsidR="00F10CC6">
        <w:rPr>
          <w:rFonts w:ascii="Times New Roman" w:hAnsi="Times New Roman"/>
          <w:sz w:val="24"/>
          <w:szCs w:val="24"/>
        </w:rPr>
        <w:t xml:space="preserve"> </w:t>
      </w:r>
    </w:p>
    <w:p w:rsidR="00E407EB" w:rsidRDefault="00F10CC6" w:rsidP="00CB0F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 первое полугодие 2016 года поступления </w:t>
      </w:r>
      <w:r w:rsidRPr="00F10CC6">
        <w:rPr>
          <w:rFonts w:ascii="Times New Roman" w:hAnsi="Times New Roman"/>
          <w:sz w:val="24"/>
          <w:szCs w:val="24"/>
          <w:u w:val="single"/>
        </w:rPr>
        <w:t>от земельного налога</w:t>
      </w:r>
      <w:r>
        <w:rPr>
          <w:rFonts w:ascii="Times New Roman" w:hAnsi="Times New Roman"/>
          <w:sz w:val="24"/>
          <w:szCs w:val="24"/>
        </w:rPr>
        <w:t xml:space="preserve"> составили 2905 тыс. руб</w:t>
      </w:r>
      <w:r w:rsidRPr="00F10CC6">
        <w:rPr>
          <w:rFonts w:ascii="Times New Roman" w:hAnsi="Times New Roman"/>
          <w:sz w:val="24"/>
          <w:szCs w:val="24"/>
          <w:u w:val="single"/>
        </w:rPr>
        <w:t>., от налога на имущество</w:t>
      </w:r>
      <w:r>
        <w:rPr>
          <w:rFonts w:ascii="Times New Roman" w:hAnsi="Times New Roman"/>
          <w:sz w:val="24"/>
          <w:szCs w:val="24"/>
        </w:rPr>
        <w:t xml:space="preserve"> – 44,4тыс. руб. Удельный вес земельного налога в общем объеме доходов бюджетов поселений за 1 полугодие 2016г. составил 3,8%, имущественного налога – 0,1%.</w:t>
      </w:r>
    </w:p>
    <w:p w:rsidR="008370DF" w:rsidRDefault="00CA4C77" w:rsidP="008370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ab/>
      </w:r>
      <w:r w:rsidR="002D062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CA4C77">
        <w:rPr>
          <w:rFonts w:ascii="Times New Roman" w:hAnsi="Times New Roman"/>
          <w:sz w:val="24"/>
          <w:szCs w:val="24"/>
        </w:rPr>
        <w:t xml:space="preserve"> На муниципальном уровне в 201</w:t>
      </w:r>
      <w:r w:rsidR="008370DF">
        <w:rPr>
          <w:rFonts w:ascii="Times New Roman" w:hAnsi="Times New Roman"/>
          <w:sz w:val="24"/>
          <w:szCs w:val="24"/>
        </w:rPr>
        <w:t>5</w:t>
      </w:r>
      <w:r w:rsidRPr="00CA4C77">
        <w:rPr>
          <w:rFonts w:ascii="Times New Roman" w:hAnsi="Times New Roman"/>
          <w:sz w:val="24"/>
          <w:szCs w:val="24"/>
        </w:rPr>
        <w:t xml:space="preserve"> году предоставлен</w:t>
      </w:r>
      <w:r w:rsidR="008370DF">
        <w:rPr>
          <w:rFonts w:ascii="Times New Roman" w:hAnsi="Times New Roman"/>
          <w:sz w:val="24"/>
          <w:szCs w:val="24"/>
        </w:rPr>
        <w:t>ы</w:t>
      </w:r>
      <w:r w:rsidRPr="00CA4C77">
        <w:rPr>
          <w:rFonts w:ascii="Times New Roman" w:hAnsi="Times New Roman"/>
          <w:sz w:val="24"/>
          <w:szCs w:val="24"/>
        </w:rPr>
        <w:t xml:space="preserve"> льгот</w:t>
      </w:r>
      <w:r w:rsidR="008370DF">
        <w:rPr>
          <w:rFonts w:ascii="Times New Roman" w:hAnsi="Times New Roman"/>
          <w:sz w:val="24"/>
          <w:szCs w:val="24"/>
        </w:rPr>
        <w:t xml:space="preserve">ы только </w:t>
      </w:r>
      <w:r w:rsidRPr="00CA4C77">
        <w:rPr>
          <w:rFonts w:ascii="Times New Roman" w:hAnsi="Times New Roman"/>
          <w:sz w:val="24"/>
          <w:szCs w:val="24"/>
        </w:rPr>
        <w:t xml:space="preserve">по </w:t>
      </w:r>
      <w:r w:rsidR="008370DF">
        <w:rPr>
          <w:rFonts w:ascii="Times New Roman" w:hAnsi="Times New Roman"/>
          <w:sz w:val="24"/>
          <w:szCs w:val="24"/>
        </w:rPr>
        <w:t xml:space="preserve">земельному налогу. </w:t>
      </w:r>
      <w:r w:rsidR="00E407EB" w:rsidRPr="00E407EB">
        <w:rPr>
          <w:rFonts w:ascii="Times New Roman" w:eastAsia="Calibri" w:hAnsi="Times New Roman" w:cs="Times New Roman"/>
          <w:sz w:val="24"/>
        </w:rPr>
        <w:t xml:space="preserve">Налогоплательщики, имеющие льготы - </w:t>
      </w:r>
      <w:r w:rsidR="008370DF">
        <w:rPr>
          <w:rFonts w:ascii="Times New Roman" w:eastAsia="Calibri" w:hAnsi="Times New Roman" w:cs="Times New Roman"/>
          <w:sz w:val="24"/>
        </w:rPr>
        <w:t>казенн</w:t>
      </w:r>
      <w:r w:rsidR="00E407EB" w:rsidRPr="00E407EB">
        <w:rPr>
          <w:rFonts w:ascii="Times New Roman" w:eastAsia="Calibri" w:hAnsi="Times New Roman" w:cs="Times New Roman"/>
          <w:sz w:val="24"/>
        </w:rPr>
        <w:t>ые учреждения</w:t>
      </w:r>
      <w:r w:rsidR="008370DF">
        <w:rPr>
          <w:rFonts w:ascii="Times New Roman" w:eastAsia="Calibri" w:hAnsi="Times New Roman" w:cs="Times New Roman"/>
          <w:sz w:val="24"/>
        </w:rPr>
        <w:t xml:space="preserve">, </w:t>
      </w:r>
      <w:r w:rsidR="00E407EB" w:rsidRPr="00E407EB">
        <w:rPr>
          <w:rFonts w:ascii="Times New Roman" w:eastAsia="Calibri" w:hAnsi="Times New Roman" w:cs="Times New Roman"/>
          <w:sz w:val="24"/>
        </w:rPr>
        <w:t xml:space="preserve"> </w:t>
      </w:r>
      <w:r w:rsidR="008370DF">
        <w:rPr>
          <w:rFonts w:ascii="Times New Roman" w:eastAsia="Calibri" w:hAnsi="Times New Roman" w:cs="Times New Roman"/>
          <w:sz w:val="24"/>
        </w:rPr>
        <w:t>органы местного самоуправления</w:t>
      </w:r>
      <w:r w:rsidR="00E407EB" w:rsidRPr="00E407EB">
        <w:rPr>
          <w:rFonts w:ascii="Times New Roman" w:eastAsia="Calibri" w:hAnsi="Times New Roman" w:cs="Times New Roman"/>
          <w:sz w:val="24"/>
        </w:rPr>
        <w:t>, обеспечиваю</w:t>
      </w:r>
      <w:r w:rsidR="008370DF">
        <w:rPr>
          <w:rFonts w:ascii="Times New Roman" w:eastAsia="Calibri" w:hAnsi="Times New Roman" w:cs="Times New Roman"/>
          <w:sz w:val="24"/>
        </w:rPr>
        <w:t>щие</w:t>
      </w:r>
      <w:r w:rsidR="00E407EB" w:rsidRPr="00E407EB">
        <w:rPr>
          <w:rFonts w:ascii="Times New Roman" w:eastAsia="Calibri" w:hAnsi="Times New Roman" w:cs="Times New Roman"/>
          <w:sz w:val="24"/>
        </w:rPr>
        <w:t xml:space="preserve"> выполнение функциональ</w:t>
      </w:r>
      <w:r w:rsidR="008370DF">
        <w:rPr>
          <w:rFonts w:ascii="Times New Roman" w:eastAsia="Calibri" w:hAnsi="Times New Roman" w:cs="Times New Roman"/>
          <w:sz w:val="24"/>
        </w:rPr>
        <w:t xml:space="preserve">ных задач в интересах населения, а также ветераны и участники ВОВ. </w:t>
      </w:r>
      <w:r w:rsidR="008370DF" w:rsidRPr="008370DF">
        <w:rPr>
          <w:rFonts w:ascii="Times New Roman" w:eastAsia="Calibri" w:hAnsi="Times New Roman" w:cs="Times New Roman"/>
          <w:sz w:val="24"/>
        </w:rPr>
        <w:t>Льготы по налогу на имущество физических лиц в поселениях  решениями представительных органов не устан</w:t>
      </w:r>
      <w:r w:rsidR="008370DF">
        <w:rPr>
          <w:rFonts w:ascii="Times New Roman" w:eastAsia="Calibri" w:hAnsi="Times New Roman" w:cs="Times New Roman"/>
          <w:sz w:val="24"/>
        </w:rPr>
        <w:t>авливались</w:t>
      </w:r>
      <w:r w:rsidR="008370DF" w:rsidRPr="008370DF">
        <w:rPr>
          <w:rFonts w:ascii="Times New Roman" w:eastAsia="Calibri" w:hAnsi="Times New Roman" w:cs="Times New Roman"/>
          <w:sz w:val="24"/>
        </w:rPr>
        <w:t>. Льготы установлены только федеральным законодательством.</w:t>
      </w:r>
    </w:p>
    <w:p w:rsidR="00947FAF" w:rsidRPr="00947FAF" w:rsidRDefault="00947FAF" w:rsidP="00947F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="002D062C">
        <w:rPr>
          <w:rFonts w:ascii="Times New Roman" w:eastAsia="Calibri" w:hAnsi="Times New Roman" w:cs="Times New Roman"/>
          <w:sz w:val="24"/>
        </w:rPr>
        <w:t>4</w:t>
      </w:r>
      <w:r>
        <w:rPr>
          <w:rFonts w:ascii="Times New Roman" w:eastAsia="Calibri" w:hAnsi="Times New Roman" w:cs="Times New Roman"/>
          <w:sz w:val="24"/>
        </w:rPr>
        <w:t xml:space="preserve">. </w:t>
      </w:r>
      <w:r w:rsidRPr="00947FAF">
        <w:rPr>
          <w:rFonts w:ascii="Times New Roman" w:eastAsia="Calibri" w:hAnsi="Times New Roman" w:cs="Times New Roman"/>
          <w:sz w:val="24"/>
        </w:rPr>
        <w:t>В нарушение п. 2 ст. 387 НК РФ в решениях представительных органов Куйтунского городского поселения, Карымского, Харикского, Уховского, Новотельбинского сельских поселений не указан размер предоставляемых налоговых льгот.</w:t>
      </w:r>
    </w:p>
    <w:p w:rsidR="002D062C" w:rsidRDefault="00947FAF" w:rsidP="00947F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47FAF">
        <w:rPr>
          <w:rFonts w:ascii="Times New Roman" w:eastAsia="Calibri" w:hAnsi="Times New Roman" w:cs="Times New Roman"/>
          <w:sz w:val="24"/>
        </w:rPr>
        <w:tab/>
        <w:t>Решением Думы от 30.10.2015 № 13 Харикского сельского поселения, вступившего в силу с 01.01.2016г., льготные категории нало</w:t>
      </w:r>
      <w:r>
        <w:rPr>
          <w:rFonts w:ascii="Times New Roman" w:eastAsia="Calibri" w:hAnsi="Times New Roman" w:cs="Times New Roman"/>
          <w:sz w:val="24"/>
        </w:rPr>
        <w:t xml:space="preserve">гоплательщиков не установлены. </w:t>
      </w:r>
      <w:r w:rsidR="002D062C" w:rsidRPr="002D062C">
        <w:rPr>
          <w:rFonts w:ascii="Times New Roman" w:eastAsia="Calibri" w:hAnsi="Times New Roman" w:cs="Times New Roman"/>
          <w:sz w:val="24"/>
        </w:rPr>
        <w:t xml:space="preserve">В отдельных поселениях льгота установлена только юридическим лицам: </w:t>
      </w:r>
      <w:proofErr w:type="gramStart"/>
      <w:r w:rsidR="002D062C" w:rsidRPr="002D062C">
        <w:rPr>
          <w:rFonts w:ascii="Times New Roman" w:eastAsia="Calibri" w:hAnsi="Times New Roman" w:cs="Times New Roman"/>
          <w:sz w:val="24"/>
        </w:rPr>
        <w:t>Ленинское</w:t>
      </w:r>
      <w:proofErr w:type="gramEnd"/>
      <w:r w:rsidR="002D062C" w:rsidRPr="002D062C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="002D062C" w:rsidRPr="002D062C">
        <w:rPr>
          <w:rFonts w:ascii="Times New Roman" w:eastAsia="Calibri" w:hAnsi="Times New Roman" w:cs="Times New Roman"/>
          <w:sz w:val="24"/>
        </w:rPr>
        <w:t>Карымское</w:t>
      </w:r>
      <w:proofErr w:type="spellEnd"/>
      <w:r w:rsidR="002D062C" w:rsidRPr="002D062C">
        <w:rPr>
          <w:rFonts w:ascii="Times New Roman" w:eastAsia="Calibri" w:hAnsi="Times New Roman" w:cs="Times New Roman"/>
          <w:sz w:val="24"/>
        </w:rPr>
        <w:t>, Уховское, однако при этом по данным налоговой отчетности в Уховском поселении льгота предоставлена в 2015 г. 8 физическим лицам, в Ленинском сельском поселении – 4 физическим лицам</w:t>
      </w:r>
      <w:r w:rsidR="002D062C">
        <w:rPr>
          <w:rFonts w:ascii="Times New Roman" w:eastAsia="Calibri" w:hAnsi="Times New Roman" w:cs="Times New Roman"/>
          <w:sz w:val="24"/>
        </w:rPr>
        <w:t>.</w:t>
      </w:r>
    </w:p>
    <w:p w:rsidR="00DF1E72" w:rsidRDefault="002D062C" w:rsidP="00947F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  <w:t xml:space="preserve">5. </w:t>
      </w:r>
      <w:r w:rsidRPr="002D062C">
        <w:rPr>
          <w:rFonts w:ascii="Times New Roman" w:eastAsia="Calibri" w:hAnsi="Times New Roman" w:cs="Times New Roman"/>
          <w:sz w:val="24"/>
        </w:rPr>
        <w:t xml:space="preserve">В ходе проведения настоящего экспертно-аналитического мероприятия установлено, что фактически в муниципальных образованиях Куйтунского района не </w:t>
      </w:r>
      <w:r w:rsidRPr="002D062C">
        <w:rPr>
          <w:rFonts w:ascii="Times New Roman" w:eastAsia="Calibri" w:hAnsi="Times New Roman" w:cs="Times New Roman"/>
          <w:sz w:val="24"/>
        </w:rPr>
        <w:lastRenderedPageBreak/>
        <w:t>ведется учет выпадающих доходов из бюджетов поселений в связи с предоставленными льготами.</w:t>
      </w:r>
    </w:p>
    <w:p w:rsidR="00C24ED0" w:rsidRDefault="003A4E66" w:rsidP="00947F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="002D062C">
        <w:rPr>
          <w:rFonts w:ascii="Times New Roman" w:eastAsia="Calibri" w:hAnsi="Times New Roman" w:cs="Times New Roman"/>
          <w:sz w:val="24"/>
        </w:rPr>
        <w:t>6</w:t>
      </w:r>
      <w:r w:rsidR="00C24ED0">
        <w:rPr>
          <w:rFonts w:ascii="Times New Roman" w:eastAsia="Calibri" w:hAnsi="Times New Roman" w:cs="Times New Roman"/>
          <w:sz w:val="24"/>
        </w:rPr>
        <w:t xml:space="preserve">. </w:t>
      </w:r>
      <w:r w:rsidR="003440FE">
        <w:rPr>
          <w:rFonts w:ascii="Times New Roman" w:eastAsia="Calibri" w:hAnsi="Times New Roman" w:cs="Times New Roman"/>
          <w:sz w:val="24"/>
        </w:rPr>
        <w:t xml:space="preserve">Количество налогоплательщиков в 2015 году по сравнению с 2014 годом </w:t>
      </w:r>
      <w:r w:rsidR="003D3893">
        <w:rPr>
          <w:rFonts w:ascii="Times New Roman" w:eastAsia="Calibri" w:hAnsi="Times New Roman" w:cs="Times New Roman"/>
          <w:sz w:val="24"/>
        </w:rPr>
        <w:t xml:space="preserve">по земельному налогу уменьшилось на 71 плательщика, а по налогу на имущество увеличилось на 192 плательщика. </w:t>
      </w:r>
      <w:proofErr w:type="gramStart"/>
      <w:r w:rsidR="003D3893">
        <w:rPr>
          <w:rFonts w:ascii="Times New Roman" w:eastAsia="Calibri" w:hAnsi="Times New Roman" w:cs="Times New Roman"/>
          <w:sz w:val="24"/>
        </w:rPr>
        <w:t xml:space="preserve">Налоговая база (кадастровая стоимость земли и инвентаризационная стоимость имущества) в 2015г. по земельному налогу снизилась на 569572тыс. руб., по налогу на имущество увеличилась на 186143 тыс. руб. Сумма, не поступившая в бюджет в связи с предоставлением льгот в 2015г. по земельному налогу снизилась на 5779тыс. руб., или на 58%, по налогу на имущество – на 305 тыс. руб., или на 20%. </w:t>
      </w:r>
      <w:proofErr w:type="gramEnd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61"/>
        <w:gridCol w:w="1285"/>
        <w:gridCol w:w="1285"/>
        <w:gridCol w:w="1285"/>
        <w:gridCol w:w="1285"/>
        <w:gridCol w:w="1285"/>
        <w:gridCol w:w="1285"/>
      </w:tblGrid>
      <w:tr w:rsidR="00526492" w:rsidTr="00526492">
        <w:tc>
          <w:tcPr>
            <w:tcW w:w="1861" w:type="dxa"/>
            <w:vMerge w:val="restart"/>
          </w:tcPr>
          <w:p w:rsidR="00526492" w:rsidRPr="00526492" w:rsidRDefault="00526492" w:rsidP="00947F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6492">
              <w:rPr>
                <w:rFonts w:ascii="Times New Roman" w:eastAsia="Calibri" w:hAnsi="Times New Roman" w:cs="Times New Roman"/>
                <w:sz w:val="20"/>
                <w:szCs w:val="20"/>
              </w:rPr>
              <w:t>Вид налога</w:t>
            </w:r>
          </w:p>
        </w:tc>
        <w:tc>
          <w:tcPr>
            <w:tcW w:w="2570" w:type="dxa"/>
            <w:gridSpan w:val="2"/>
          </w:tcPr>
          <w:p w:rsidR="00526492" w:rsidRPr="00526492" w:rsidRDefault="00526492" w:rsidP="00947F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649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налогоплательщиков</w:t>
            </w:r>
          </w:p>
        </w:tc>
        <w:tc>
          <w:tcPr>
            <w:tcW w:w="2570" w:type="dxa"/>
            <w:gridSpan w:val="2"/>
          </w:tcPr>
          <w:p w:rsidR="00526492" w:rsidRPr="00526492" w:rsidRDefault="00526492" w:rsidP="00947F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6492">
              <w:rPr>
                <w:rFonts w:ascii="Times New Roman" w:eastAsia="Calibri" w:hAnsi="Times New Roman" w:cs="Times New Roman"/>
                <w:sz w:val="20"/>
                <w:szCs w:val="20"/>
              </w:rPr>
              <w:t>Налоговая база (кадастровая стоимость земли и инвентаризационная стоимость имущества)</w:t>
            </w:r>
          </w:p>
        </w:tc>
        <w:tc>
          <w:tcPr>
            <w:tcW w:w="2570" w:type="dxa"/>
            <w:gridSpan w:val="2"/>
          </w:tcPr>
          <w:p w:rsidR="00526492" w:rsidRPr="00526492" w:rsidRDefault="00526492" w:rsidP="00947F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6492">
              <w:rPr>
                <w:rFonts w:ascii="Times New Roman" w:eastAsia="Calibri" w:hAnsi="Times New Roman" w:cs="Times New Roman"/>
                <w:sz w:val="20"/>
                <w:szCs w:val="20"/>
              </w:rPr>
              <w:t>Сумма, не поступившая в бюджет в связи с предоставлением льгот</w:t>
            </w:r>
          </w:p>
        </w:tc>
      </w:tr>
      <w:tr w:rsidR="00526492" w:rsidTr="003D3893">
        <w:tc>
          <w:tcPr>
            <w:tcW w:w="1861" w:type="dxa"/>
            <w:vMerge/>
          </w:tcPr>
          <w:p w:rsidR="00526492" w:rsidRDefault="00526492" w:rsidP="00947FA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5" w:type="dxa"/>
          </w:tcPr>
          <w:p w:rsidR="00526492" w:rsidRPr="00DF1E72" w:rsidRDefault="00526492" w:rsidP="00947F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E72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85" w:type="dxa"/>
          </w:tcPr>
          <w:p w:rsidR="00526492" w:rsidRPr="00DF1E72" w:rsidRDefault="00526492" w:rsidP="00947F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E72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85" w:type="dxa"/>
          </w:tcPr>
          <w:p w:rsidR="00526492" w:rsidRPr="00DF1E72" w:rsidRDefault="00526492" w:rsidP="00947F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E72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85" w:type="dxa"/>
          </w:tcPr>
          <w:p w:rsidR="00526492" w:rsidRPr="00DF1E72" w:rsidRDefault="00526492" w:rsidP="00947F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E72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85" w:type="dxa"/>
          </w:tcPr>
          <w:p w:rsidR="00526492" w:rsidRPr="00DF1E72" w:rsidRDefault="00526492" w:rsidP="00947F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E72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85" w:type="dxa"/>
          </w:tcPr>
          <w:p w:rsidR="00526492" w:rsidRPr="00DF1E72" w:rsidRDefault="00526492" w:rsidP="00947F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E72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</w:tr>
      <w:tr w:rsidR="00526492" w:rsidTr="003D3893">
        <w:tc>
          <w:tcPr>
            <w:tcW w:w="1861" w:type="dxa"/>
          </w:tcPr>
          <w:p w:rsidR="00526492" w:rsidRPr="00526492" w:rsidRDefault="00526492" w:rsidP="005264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6492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</w:t>
            </w:r>
          </w:p>
        </w:tc>
        <w:tc>
          <w:tcPr>
            <w:tcW w:w="1285" w:type="dxa"/>
          </w:tcPr>
          <w:p w:rsidR="00526492" w:rsidRPr="00526492" w:rsidRDefault="00526492" w:rsidP="00947FA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10307</w:t>
            </w:r>
          </w:p>
        </w:tc>
        <w:tc>
          <w:tcPr>
            <w:tcW w:w="1285" w:type="dxa"/>
          </w:tcPr>
          <w:p w:rsidR="00526492" w:rsidRPr="00526492" w:rsidRDefault="00526492" w:rsidP="00947FAF">
            <w:pPr>
              <w:jc w:val="both"/>
              <w:rPr>
                <w:rFonts w:ascii="Times New Roman" w:eastAsia="Calibri" w:hAnsi="Times New Roman" w:cs="Times New Roman"/>
              </w:rPr>
            </w:pPr>
            <w:r w:rsidRPr="00526492">
              <w:rPr>
                <w:rFonts w:ascii="Times New Roman" w:eastAsia="Calibri" w:hAnsi="Times New Roman" w:cs="Times New Roman"/>
              </w:rPr>
              <w:t>10236</w:t>
            </w:r>
          </w:p>
        </w:tc>
        <w:tc>
          <w:tcPr>
            <w:tcW w:w="1285" w:type="dxa"/>
          </w:tcPr>
          <w:p w:rsidR="00526492" w:rsidRPr="00526492" w:rsidRDefault="00526492" w:rsidP="00947FA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3819092</w:t>
            </w:r>
          </w:p>
        </w:tc>
        <w:tc>
          <w:tcPr>
            <w:tcW w:w="1285" w:type="dxa"/>
          </w:tcPr>
          <w:p w:rsidR="00526492" w:rsidRPr="00526492" w:rsidRDefault="00526492" w:rsidP="00947FA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3249520</w:t>
            </w:r>
          </w:p>
        </w:tc>
        <w:tc>
          <w:tcPr>
            <w:tcW w:w="1285" w:type="dxa"/>
          </w:tcPr>
          <w:p w:rsidR="00526492" w:rsidRPr="00526492" w:rsidRDefault="00526492" w:rsidP="00947FA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10011</w:t>
            </w:r>
          </w:p>
        </w:tc>
        <w:tc>
          <w:tcPr>
            <w:tcW w:w="1285" w:type="dxa"/>
          </w:tcPr>
          <w:p w:rsidR="00526492" w:rsidRPr="00526492" w:rsidRDefault="000369DE" w:rsidP="00947FA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4232</w:t>
            </w:r>
          </w:p>
        </w:tc>
      </w:tr>
      <w:tr w:rsidR="00526492" w:rsidTr="003D3893">
        <w:tc>
          <w:tcPr>
            <w:tcW w:w="1861" w:type="dxa"/>
          </w:tcPr>
          <w:p w:rsidR="00526492" w:rsidRPr="00526492" w:rsidRDefault="00526492" w:rsidP="005264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6492">
              <w:rPr>
                <w:rFonts w:ascii="Times New Roman" w:eastAsia="Calibri" w:hAnsi="Times New Roman" w:cs="Times New Roman"/>
                <w:sz w:val="20"/>
                <w:szCs w:val="20"/>
              </w:rPr>
              <w:t>на имущество</w:t>
            </w:r>
          </w:p>
        </w:tc>
        <w:tc>
          <w:tcPr>
            <w:tcW w:w="1285" w:type="dxa"/>
          </w:tcPr>
          <w:p w:rsidR="00526492" w:rsidRPr="00526492" w:rsidRDefault="00526492" w:rsidP="00947FA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8187</w:t>
            </w:r>
          </w:p>
        </w:tc>
        <w:tc>
          <w:tcPr>
            <w:tcW w:w="1285" w:type="dxa"/>
          </w:tcPr>
          <w:p w:rsidR="00526492" w:rsidRPr="00526492" w:rsidRDefault="00526492" w:rsidP="00947FA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8379</w:t>
            </w:r>
          </w:p>
        </w:tc>
        <w:tc>
          <w:tcPr>
            <w:tcW w:w="1285" w:type="dxa"/>
          </w:tcPr>
          <w:p w:rsidR="00526492" w:rsidRPr="00526492" w:rsidRDefault="00526492" w:rsidP="00947FA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900197</w:t>
            </w:r>
          </w:p>
        </w:tc>
        <w:tc>
          <w:tcPr>
            <w:tcW w:w="1285" w:type="dxa"/>
          </w:tcPr>
          <w:p w:rsidR="00526492" w:rsidRPr="00526492" w:rsidRDefault="00526492" w:rsidP="00947FA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1086340</w:t>
            </w:r>
          </w:p>
        </w:tc>
        <w:tc>
          <w:tcPr>
            <w:tcW w:w="1285" w:type="dxa"/>
          </w:tcPr>
          <w:p w:rsidR="00526492" w:rsidRPr="00526492" w:rsidRDefault="00526492" w:rsidP="00947FA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1551</w:t>
            </w:r>
          </w:p>
        </w:tc>
        <w:tc>
          <w:tcPr>
            <w:tcW w:w="1285" w:type="dxa"/>
          </w:tcPr>
          <w:p w:rsidR="00526492" w:rsidRPr="00526492" w:rsidRDefault="00526492" w:rsidP="00947FA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1246</w:t>
            </w:r>
          </w:p>
        </w:tc>
      </w:tr>
    </w:tbl>
    <w:p w:rsidR="003D3893" w:rsidRDefault="003D3893" w:rsidP="00947F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bookmarkStart w:id="1" w:name="_GoBack"/>
      <w:bookmarkEnd w:id="1"/>
    </w:p>
    <w:p w:rsidR="003A4E66" w:rsidRDefault="003A4E66" w:rsidP="00947F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="002D062C">
        <w:rPr>
          <w:rFonts w:ascii="Times New Roman" w:eastAsia="Calibri" w:hAnsi="Times New Roman" w:cs="Times New Roman"/>
          <w:sz w:val="24"/>
        </w:rPr>
        <w:t>7</w:t>
      </w:r>
      <w:r>
        <w:rPr>
          <w:rFonts w:ascii="Times New Roman" w:eastAsia="Calibri" w:hAnsi="Times New Roman" w:cs="Times New Roman"/>
          <w:sz w:val="24"/>
        </w:rPr>
        <w:t xml:space="preserve">. В 2015 году </w:t>
      </w:r>
      <w:r w:rsidRPr="003A4E66">
        <w:rPr>
          <w:rFonts w:ascii="Times New Roman" w:eastAsia="Calibri" w:hAnsi="Times New Roman" w:cs="Times New Roman"/>
          <w:sz w:val="24"/>
        </w:rPr>
        <w:t>поступления от уплаты земельного налога</w:t>
      </w:r>
      <w:r>
        <w:rPr>
          <w:rFonts w:ascii="Times New Roman" w:eastAsia="Calibri" w:hAnsi="Times New Roman" w:cs="Times New Roman"/>
          <w:sz w:val="24"/>
        </w:rPr>
        <w:t xml:space="preserve"> и налога на имущество физических лиц</w:t>
      </w:r>
      <w:r w:rsidRPr="003A4E66">
        <w:rPr>
          <w:rFonts w:ascii="Times New Roman" w:eastAsia="Calibri" w:hAnsi="Times New Roman" w:cs="Times New Roman"/>
          <w:sz w:val="24"/>
        </w:rPr>
        <w:t xml:space="preserve"> имеют тенденцию к снижению, при этом значительно увеличивается недоимка.</w:t>
      </w:r>
      <w:r>
        <w:rPr>
          <w:rFonts w:ascii="Times New Roman" w:eastAsia="Calibri" w:hAnsi="Times New Roman" w:cs="Times New Roman"/>
          <w:sz w:val="24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33"/>
        <w:gridCol w:w="1452"/>
        <w:gridCol w:w="1710"/>
        <w:gridCol w:w="1592"/>
        <w:gridCol w:w="1550"/>
        <w:gridCol w:w="821"/>
        <w:gridCol w:w="813"/>
      </w:tblGrid>
      <w:tr w:rsidR="008035A2" w:rsidTr="00526492">
        <w:tc>
          <w:tcPr>
            <w:tcW w:w="1635" w:type="dxa"/>
            <w:vMerge w:val="restart"/>
          </w:tcPr>
          <w:p w:rsidR="008035A2" w:rsidRPr="008035A2" w:rsidRDefault="008035A2" w:rsidP="00947F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5A2">
              <w:rPr>
                <w:rFonts w:ascii="Times New Roman" w:eastAsia="Calibri" w:hAnsi="Times New Roman" w:cs="Times New Roman"/>
                <w:sz w:val="20"/>
                <w:szCs w:val="20"/>
              </w:rPr>
              <w:t>Вид налога</w:t>
            </w:r>
          </w:p>
        </w:tc>
        <w:tc>
          <w:tcPr>
            <w:tcW w:w="1453" w:type="dxa"/>
            <w:vMerge w:val="restart"/>
          </w:tcPr>
          <w:p w:rsidR="008035A2" w:rsidRPr="008035A2" w:rsidRDefault="008035A2" w:rsidP="00947F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5A2">
              <w:rPr>
                <w:rFonts w:ascii="Times New Roman" w:eastAsia="Calibri" w:hAnsi="Times New Roman" w:cs="Times New Roman"/>
                <w:sz w:val="20"/>
                <w:szCs w:val="20"/>
              </w:rPr>
              <w:t>поступило в 2014г.</w:t>
            </w:r>
          </w:p>
        </w:tc>
        <w:tc>
          <w:tcPr>
            <w:tcW w:w="1711" w:type="dxa"/>
            <w:vMerge w:val="restart"/>
          </w:tcPr>
          <w:p w:rsidR="008035A2" w:rsidRPr="008035A2" w:rsidRDefault="008035A2" w:rsidP="00947F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5A2">
              <w:rPr>
                <w:rFonts w:ascii="Times New Roman" w:eastAsia="Calibri" w:hAnsi="Times New Roman" w:cs="Times New Roman"/>
                <w:sz w:val="20"/>
                <w:szCs w:val="20"/>
              </w:rPr>
              <w:t>недоимка на 01.01.2015г.</w:t>
            </w:r>
          </w:p>
        </w:tc>
        <w:tc>
          <w:tcPr>
            <w:tcW w:w="1593" w:type="dxa"/>
            <w:vMerge w:val="restart"/>
          </w:tcPr>
          <w:p w:rsidR="008035A2" w:rsidRPr="008035A2" w:rsidRDefault="008035A2" w:rsidP="00947F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5A2">
              <w:rPr>
                <w:rFonts w:ascii="Times New Roman" w:eastAsia="Calibri" w:hAnsi="Times New Roman" w:cs="Times New Roman"/>
                <w:sz w:val="20"/>
                <w:szCs w:val="20"/>
              </w:rPr>
              <w:t>поступило в 2015г.</w:t>
            </w:r>
          </w:p>
        </w:tc>
        <w:tc>
          <w:tcPr>
            <w:tcW w:w="1551" w:type="dxa"/>
            <w:vMerge w:val="restart"/>
          </w:tcPr>
          <w:p w:rsidR="008035A2" w:rsidRPr="008035A2" w:rsidRDefault="008035A2" w:rsidP="00947F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5A2">
              <w:rPr>
                <w:rFonts w:ascii="Times New Roman" w:eastAsia="Calibri" w:hAnsi="Times New Roman" w:cs="Times New Roman"/>
                <w:sz w:val="20"/>
                <w:szCs w:val="20"/>
              </w:rPr>
              <w:t>недоимка на 01.01.2016г.</w:t>
            </w:r>
          </w:p>
        </w:tc>
        <w:tc>
          <w:tcPr>
            <w:tcW w:w="1628" w:type="dxa"/>
            <w:gridSpan w:val="2"/>
          </w:tcPr>
          <w:p w:rsidR="008035A2" w:rsidRPr="008035A2" w:rsidRDefault="008035A2" w:rsidP="00947F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5A2">
              <w:rPr>
                <w:rFonts w:ascii="Times New Roman" w:eastAsia="Calibri" w:hAnsi="Times New Roman" w:cs="Times New Roman"/>
                <w:sz w:val="20"/>
                <w:szCs w:val="20"/>
              </w:rPr>
              <w:t>Рост недоимки</w:t>
            </w:r>
          </w:p>
        </w:tc>
      </w:tr>
      <w:tr w:rsidR="008035A2" w:rsidTr="008035A2">
        <w:tc>
          <w:tcPr>
            <w:tcW w:w="1635" w:type="dxa"/>
            <w:vMerge/>
          </w:tcPr>
          <w:p w:rsidR="008035A2" w:rsidRPr="008035A2" w:rsidRDefault="008035A2" w:rsidP="00947F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8035A2" w:rsidRPr="008035A2" w:rsidRDefault="008035A2" w:rsidP="00947F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8035A2" w:rsidRPr="008035A2" w:rsidRDefault="008035A2" w:rsidP="00947F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8035A2" w:rsidRPr="008035A2" w:rsidRDefault="008035A2" w:rsidP="00947F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8035A2" w:rsidRPr="008035A2" w:rsidRDefault="008035A2" w:rsidP="00947F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8035A2" w:rsidRPr="008035A2" w:rsidRDefault="008035A2" w:rsidP="00947F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5A2">
              <w:rPr>
                <w:rFonts w:ascii="Times New Roman" w:eastAsia="Calibri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814" w:type="dxa"/>
          </w:tcPr>
          <w:p w:rsidR="008035A2" w:rsidRPr="008035A2" w:rsidRDefault="008035A2" w:rsidP="00947F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5A2">
              <w:rPr>
                <w:rFonts w:ascii="Times New Roman" w:eastAsia="Calibri" w:hAnsi="Times New Roman" w:cs="Times New Roman"/>
                <w:sz w:val="20"/>
                <w:szCs w:val="20"/>
              </w:rPr>
              <w:t>в %</w:t>
            </w:r>
          </w:p>
        </w:tc>
      </w:tr>
      <w:tr w:rsidR="008035A2" w:rsidTr="008035A2">
        <w:tc>
          <w:tcPr>
            <w:tcW w:w="1635" w:type="dxa"/>
          </w:tcPr>
          <w:p w:rsidR="008035A2" w:rsidRPr="008035A2" w:rsidRDefault="008035A2" w:rsidP="005264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5A2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</w:t>
            </w:r>
          </w:p>
        </w:tc>
        <w:tc>
          <w:tcPr>
            <w:tcW w:w="1453" w:type="dxa"/>
          </w:tcPr>
          <w:p w:rsidR="008035A2" w:rsidRPr="00526492" w:rsidRDefault="008035A2" w:rsidP="00947FAF">
            <w:pPr>
              <w:jc w:val="both"/>
              <w:rPr>
                <w:rFonts w:ascii="Times New Roman" w:eastAsia="Calibri" w:hAnsi="Times New Roman" w:cs="Times New Roman"/>
              </w:rPr>
            </w:pPr>
            <w:r w:rsidRPr="00526492">
              <w:rPr>
                <w:rFonts w:ascii="Times New Roman" w:eastAsia="Calibri" w:hAnsi="Times New Roman" w:cs="Times New Roman"/>
              </w:rPr>
              <w:t>11438,1</w:t>
            </w:r>
          </w:p>
        </w:tc>
        <w:tc>
          <w:tcPr>
            <w:tcW w:w="1711" w:type="dxa"/>
          </w:tcPr>
          <w:p w:rsidR="008035A2" w:rsidRPr="00526492" w:rsidRDefault="008035A2" w:rsidP="00947FAF">
            <w:pPr>
              <w:jc w:val="both"/>
              <w:rPr>
                <w:rFonts w:ascii="Times New Roman" w:eastAsia="Calibri" w:hAnsi="Times New Roman" w:cs="Times New Roman"/>
              </w:rPr>
            </w:pPr>
            <w:r w:rsidRPr="00526492">
              <w:rPr>
                <w:rFonts w:ascii="Times New Roman" w:eastAsia="Calibri" w:hAnsi="Times New Roman" w:cs="Times New Roman"/>
              </w:rPr>
              <w:t>1912,8</w:t>
            </w:r>
          </w:p>
        </w:tc>
        <w:tc>
          <w:tcPr>
            <w:tcW w:w="1593" w:type="dxa"/>
          </w:tcPr>
          <w:p w:rsidR="008035A2" w:rsidRPr="00526492" w:rsidRDefault="008035A2" w:rsidP="00947FAF">
            <w:pPr>
              <w:jc w:val="both"/>
              <w:rPr>
                <w:rFonts w:ascii="Times New Roman" w:eastAsia="Calibri" w:hAnsi="Times New Roman" w:cs="Times New Roman"/>
              </w:rPr>
            </w:pPr>
            <w:r w:rsidRPr="00526492">
              <w:rPr>
                <w:rFonts w:ascii="Times New Roman" w:eastAsia="Calibri" w:hAnsi="Times New Roman" w:cs="Times New Roman"/>
              </w:rPr>
              <w:t>8174</w:t>
            </w:r>
          </w:p>
        </w:tc>
        <w:tc>
          <w:tcPr>
            <w:tcW w:w="1551" w:type="dxa"/>
          </w:tcPr>
          <w:p w:rsidR="008035A2" w:rsidRPr="00526492" w:rsidRDefault="008035A2" w:rsidP="00947FAF">
            <w:pPr>
              <w:jc w:val="both"/>
              <w:rPr>
                <w:rFonts w:ascii="Times New Roman" w:eastAsia="Calibri" w:hAnsi="Times New Roman" w:cs="Times New Roman"/>
              </w:rPr>
            </w:pPr>
            <w:r w:rsidRPr="00526492">
              <w:rPr>
                <w:rFonts w:ascii="Times New Roman" w:eastAsia="Calibri" w:hAnsi="Times New Roman" w:cs="Times New Roman"/>
              </w:rPr>
              <w:t>2847,8</w:t>
            </w:r>
          </w:p>
        </w:tc>
        <w:tc>
          <w:tcPr>
            <w:tcW w:w="814" w:type="dxa"/>
          </w:tcPr>
          <w:p w:rsidR="008035A2" w:rsidRPr="00526492" w:rsidRDefault="008035A2" w:rsidP="00947FAF">
            <w:pPr>
              <w:jc w:val="both"/>
              <w:rPr>
                <w:rFonts w:ascii="Times New Roman" w:eastAsia="Calibri" w:hAnsi="Times New Roman" w:cs="Times New Roman"/>
              </w:rPr>
            </w:pPr>
            <w:r w:rsidRPr="00526492">
              <w:rPr>
                <w:rFonts w:ascii="Times New Roman" w:eastAsia="Calibri" w:hAnsi="Times New Roman" w:cs="Times New Roman"/>
              </w:rPr>
              <w:t>935</w:t>
            </w:r>
          </w:p>
        </w:tc>
        <w:tc>
          <w:tcPr>
            <w:tcW w:w="814" w:type="dxa"/>
          </w:tcPr>
          <w:p w:rsidR="008035A2" w:rsidRPr="00526492" w:rsidRDefault="00C24ED0" w:rsidP="00C24E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526492">
              <w:rPr>
                <w:rFonts w:ascii="Times New Roman" w:eastAsia="Calibri" w:hAnsi="Times New Roman" w:cs="Times New Roman"/>
              </w:rPr>
              <w:t>4</w:t>
            </w:r>
            <w:r w:rsidR="008035A2" w:rsidRPr="00526492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035A2" w:rsidTr="008035A2">
        <w:tc>
          <w:tcPr>
            <w:tcW w:w="1635" w:type="dxa"/>
          </w:tcPr>
          <w:p w:rsidR="008035A2" w:rsidRPr="008035A2" w:rsidRDefault="008035A2" w:rsidP="005264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5A2">
              <w:rPr>
                <w:rFonts w:ascii="Times New Roman" w:eastAsia="Calibri" w:hAnsi="Times New Roman" w:cs="Times New Roman"/>
                <w:sz w:val="20"/>
                <w:szCs w:val="20"/>
              </w:rPr>
              <w:t>на имущество</w:t>
            </w:r>
          </w:p>
        </w:tc>
        <w:tc>
          <w:tcPr>
            <w:tcW w:w="1453" w:type="dxa"/>
          </w:tcPr>
          <w:p w:rsidR="008035A2" w:rsidRPr="00526492" w:rsidRDefault="008035A2" w:rsidP="00947FAF">
            <w:pPr>
              <w:jc w:val="both"/>
              <w:rPr>
                <w:rFonts w:ascii="Times New Roman" w:eastAsia="Calibri" w:hAnsi="Times New Roman" w:cs="Times New Roman"/>
              </w:rPr>
            </w:pPr>
            <w:r w:rsidRPr="00526492">
              <w:rPr>
                <w:rFonts w:ascii="Times New Roman" w:eastAsia="Calibri" w:hAnsi="Times New Roman" w:cs="Times New Roman"/>
              </w:rPr>
              <w:t>1549,2</w:t>
            </w:r>
          </w:p>
        </w:tc>
        <w:tc>
          <w:tcPr>
            <w:tcW w:w="1711" w:type="dxa"/>
          </w:tcPr>
          <w:p w:rsidR="008035A2" w:rsidRPr="00526492" w:rsidRDefault="008035A2" w:rsidP="00947FAF">
            <w:pPr>
              <w:jc w:val="both"/>
              <w:rPr>
                <w:rFonts w:ascii="Times New Roman" w:eastAsia="Calibri" w:hAnsi="Times New Roman" w:cs="Times New Roman"/>
              </w:rPr>
            </w:pPr>
            <w:r w:rsidRPr="00526492">
              <w:rPr>
                <w:rFonts w:ascii="Times New Roman" w:eastAsia="Calibri" w:hAnsi="Times New Roman" w:cs="Times New Roman"/>
              </w:rPr>
              <w:t>902,1</w:t>
            </w:r>
          </w:p>
        </w:tc>
        <w:tc>
          <w:tcPr>
            <w:tcW w:w="1593" w:type="dxa"/>
          </w:tcPr>
          <w:p w:rsidR="008035A2" w:rsidRPr="00526492" w:rsidRDefault="008035A2" w:rsidP="00947FAF">
            <w:pPr>
              <w:jc w:val="both"/>
              <w:rPr>
                <w:rFonts w:ascii="Times New Roman" w:eastAsia="Calibri" w:hAnsi="Times New Roman" w:cs="Times New Roman"/>
              </w:rPr>
            </w:pPr>
            <w:r w:rsidRPr="00526492">
              <w:rPr>
                <w:rFonts w:ascii="Times New Roman" w:eastAsia="Calibri" w:hAnsi="Times New Roman" w:cs="Times New Roman"/>
              </w:rPr>
              <w:t>1467,8</w:t>
            </w:r>
          </w:p>
        </w:tc>
        <w:tc>
          <w:tcPr>
            <w:tcW w:w="1551" w:type="dxa"/>
          </w:tcPr>
          <w:p w:rsidR="008035A2" w:rsidRPr="00526492" w:rsidRDefault="008035A2" w:rsidP="00947FAF">
            <w:pPr>
              <w:jc w:val="both"/>
              <w:rPr>
                <w:rFonts w:ascii="Times New Roman" w:eastAsia="Calibri" w:hAnsi="Times New Roman" w:cs="Times New Roman"/>
              </w:rPr>
            </w:pPr>
            <w:r w:rsidRPr="00526492">
              <w:rPr>
                <w:rFonts w:ascii="Times New Roman" w:eastAsia="Calibri" w:hAnsi="Times New Roman" w:cs="Times New Roman"/>
              </w:rPr>
              <w:t>1098,5</w:t>
            </w:r>
          </w:p>
        </w:tc>
        <w:tc>
          <w:tcPr>
            <w:tcW w:w="814" w:type="dxa"/>
          </w:tcPr>
          <w:p w:rsidR="008035A2" w:rsidRPr="00526492" w:rsidRDefault="00C24ED0" w:rsidP="00947FAF">
            <w:pPr>
              <w:jc w:val="both"/>
              <w:rPr>
                <w:rFonts w:ascii="Times New Roman" w:eastAsia="Calibri" w:hAnsi="Times New Roman" w:cs="Times New Roman"/>
              </w:rPr>
            </w:pPr>
            <w:r w:rsidRPr="00526492">
              <w:rPr>
                <w:rFonts w:ascii="Times New Roman" w:eastAsia="Calibri" w:hAnsi="Times New Roman" w:cs="Times New Roman"/>
              </w:rPr>
              <w:t>196,4</w:t>
            </w:r>
          </w:p>
        </w:tc>
        <w:tc>
          <w:tcPr>
            <w:tcW w:w="814" w:type="dxa"/>
          </w:tcPr>
          <w:p w:rsidR="008035A2" w:rsidRPr="00526492" w:rsidRDefault="00C24ED0" w:rsidP="00947FAF">
            <w:pPr>
              <w:jc w:val="both"/>
              <w:rPr>
                <w:rFonts w:ascii="Times New Roman" w:eastAsia="Calibri" w:hAnsi="Times New Roman" w:cs="Times New Roman"/>
              </w:rPr>
            </w:pPr>
            <w:r w:rsidRPr="00526492">
              <w:rPr>
                <w:rFonts w:ascii="Times New Roman" w:eastAsia="Calibri" w:hAnsi="Times New Roman" w:cs="Times New Roman"/>
              </w:rPr>
              <w:t>22</w:t>
            </w:r>
          </w:p>
        </w:tc>
      </w:tr>
      <w:tr w:rsidR="008035A2" w:rsidTr="008035A2">
        <w:tc>
          <w:tcPr>
            <w:tcW w:w="1635" w:type="dxa"/>
          </w:tcPr>
          <w:p w:rsidR="008035A2" w:rsidRPr="008035A2" w:rsidRDefault="008035A2" w:rsidP="005264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5A2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53" w:type="dxa"/>
          </w:tcPr>
          <w:p w:rsidR="008035A2" w:rsidRPr="00526492" w:rsidRDefault="008035A2" w:rsidP="00947FAF">
            <w:pPr>
              <w:jc w:val="both"/>
              <w:rPr>
                <w:rFonts w:ascii="Times New Roman" w:eastAsia="Calibri" w:hAnsi="Times New Roman" w:cs="Times New Roman"/>
              </w:rPr>
            </w:pPr>
            <w:r w:rsidRPr="00526492">
              <w:rPr>
                <w:rFonts w:ascii="Times New Roman" w:eastAsia="Calibri" w:hAnsi="Times New Roman" w:cs="Times New Roman"/>
              </w:rPr>
              <w:t>12987,3</w:t>
            </w:r>
          </w:p>
        </w:tc>
        <w:tc>
          <w:tcPr>
            <w:tcW w:w="1711" w:type="dxa"/>
          </w:tcPr>
          <w:p w:rsidR="008035A2" w:rsidRPr="00526492" w:rsidRDefault="008035A2" w:rsidP="00947FAF">
            <w:pPr>
              <w:jc w:val="both"/>
              <w:rPr>
                <w:rFonts w:ascii="Times New Roman" w:eastAsia="Calibri" w:hAnsi="Times New Roman" w:cs="Times New Roman"/>
              </w:rPr>
            </w:pPr>
            <w:r w:rsidRPr="00526492">
              <w:rPr>
                <w:rFonts w:ascii="Times New Roman" w:eastAsia="Calibri" w:hAnsi="Times New Roman" w:cs="Times New Roman"/>
              </w:rPr>
              <w:t>2814,9</w:t>
            </w:r>
          </w:p>
        </w:tc>
        <w:tc>
          <w:tcPr>
            <w:tcW w:w="1593" w:type="dxa"/>
          </w:tcPr>
          <w:p w:rsidR="008035A2" w:rsidRPr="00526492" w:rsidRDefault="008035A2" w:rsidP="00947FAF">
            <w:pPr>
              <w:jc w:val="both"/>
              <w:rPr>
                <w:rFonts w:ascii="Times New Roman" w:eastAsia="Calibri" w:hAnsi="Times New Roman" w:cs="Times New Roman"/>
              </w:rPr>
            </w:pPr>
            <w:r w:rsidRPr="00526492">
              <w:rPr>
                <w:rFonts w:ascii="Times New Roman" w:eastAsia="Calibri" w:hAnsi="Times New Roman" w:cs="Times New Roman"/>
              </w:rPr>
              <w:t>9641,8</w:t>
            </w:r>
          </w:p>
        </w:tc>
        <w:tc>
          <w:tcPr>
            <w:tcW w:w="1551" w:type="dxa"/>
          </w:tcPr>
          <w:p w:rsidR="008035A2" w:rsidRPr="00526492" w:rsidRDefault="008035A2" w:rsidP="00947FAF">
            <w:pPr>
              <w:jc w:val="both"/>
              <w:rPr>
                <w:rFonts w:ascii="Times New Roman" w:eastAsia="Calibri" w:hAnsi="Times New Roman" w:cs="Times New Roman"/>
              </w:rPr>
            </w:pPr>
            <w:r w:rsidRPr="00526492">
              <w:rPr>
                <w:rFonts w:ascii="Times New Roman" w:eastAsia="Calibri" w:hAnsi="Times New Roman" w:cs="Times New Roman"/>
              </w:rPr>
              <w:t>3946,3</w:t>
            </w:r>
          </w:p>
        </w:tc>
        <w:tc>
          <w:tcPr>
            <w:tcW w:w="814" w:type="dxa"/>
          </w:tcPr>
          <w:p w:rsidR="008035A2" w:rsidRPr="00526492" w:rsidRDefault="00C24ED0" w:rsidP="00947FAF">
            <w:pPr>
              <w:jc w:val="both"/>
              <w:rPr>
                <w:rFonts w:ascii="Times New Roman" w:eastAsia="Calibri" w:hAnsi="Times New Roman" w:cs="Times New Roman"/>
              </w:rPr>
            </w:pPr>
            <w:r w:rsidRPr="00526492">
              <w:rPr>
                <w:rFonts w:ascii="Times New Roman" w:eastAsia="Calibri" w:hAnsi="Times New Roman" w:cs="Times New Roman"/>
              </w:rPr>
              <w:t>1131,4</w:t>
            </w:r>
          </w:p>
        </w:tc>
        <w:tc>
          <w:tcPr>
            <w:tcW w:w="814" w:type="dxa"/>
          </w:tcPr>
          <w:p w:rsidR="008035A2" w:rsidRPr="00526492" w:rsidRDefault="00C24ED0" w:rsidP="00947FAF">
            <w:pPr>
              <w:jc w:val="both"/>
              <w:rPr>
                <w:rFonts w:ascii="Times New Roman" w:eastAsia="Calibri" w:hAnsi="Times New Roman" w:cs="Times New Roman"/>
              </w:rPr>
            </w:pPr>
            <w:r w:rsidRPr="00526492">
              <w:rPr>
                <w:rFonts w:ascii="Times New Roman" w:eastAsia="Calibri" w:hAnsi="Times New Roman" w:cs="Times New Roman"/>
              </w:rPr>
              <w:t>40</w:t>
            </w:r>
          </w:p>
        </w:tc>
      </w:tr>
    </w:tbl>
    <w:p w:rsidR="008370DF" w:rsidRDefault="008370DF" w:rsidP="002D06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C24ED0" w:rsidRDefault="00C24ED0" w:rsidP="008370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="002D062C">
        <w:rPr>
          <w:rFonts w:ascii="Times New Roman" w:eastAsia="Calibri" w:hAnsi="Times New Roman" w:cs="Times New Roman"/>
          <w:sz w:val="24"/>
        </w:rPr>
        <w:t>8</w:t>
      </w:r>
      <w:r>
        <w:rPr>
          <w:rFonts w:ascii="Times New Roman" w:eastAsia="Calibri" w:hAnsi="Times New Roman" w:cs="Times New Roman"/>
          <w:sz w:val="24"/>
        </w:rPr>
        <w:t xml:space="preserve">. </w:t>
      </w:r>
      <w:r w:rsidRPr="00C24ED0">
        <w:rPr>
          <w:rFonts w:ascii="Times New Roman" w:eastAsia="Calibri" w:hAnsi="Times New Roman" w:cs="Times New Roman"/>
          <w:sz w:val="24"/>
        </w:rPr>
        <w:t>Льготы, предоставленные физическим лицам по налогу на землю, налогу на имущество физических лиц, имеют исключительно социальную направленность, являются большим моральным фактором и могут быть признаны эффективными.</w:t>
      </w:r>
    </w:p>
    <w:p w:rsidR="008370DF" w:rsidRDefault="008370DF" w:rsidP="008370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8370DF" w:rsidRPr="000369DE" w:rsidRDefault="000369DE" w:rsidP="008370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Pr="000369DE">
        <w:rPr>
          <w:rFonts w:ascii="Times New Roman" w:eastAsia="Calibri" w:hAnsi="Times New Roman" w:cs="Times New Roman"/>
          <w:b/>
          <w:sz w:val="24"/>
        </w:rPr>
        <w:t>Рекомендации</w:t>
      </w:r>
      <w:r>
        <w:rPr>
          <w:rFonts w:ascii="Times New Roman" w:eastAsia="Calibri" w:hAnsi="Times New Roman" w:cs="Times New Roman"/>
          <w:b/>
          <w:sz w:val="24"/>
        </w:rPr>
        <w:t xml:space="preserve"> администрациям поселений</w:t>
      </w:r>
      <w:r w:rsidRPr="000369DE">
        <w:rPr>
          <w:rFonts w:ascii="Times New Roman" w:eastAsia="Calibri" w:hAnsi="Times New Roman" w:cs="Times New Roman"/>
          <w:b/>
          <w:sz w:val="24"/>
        </w:rPr>
        <w:t>:</w:t>
      </w:r>
    </w:p>
    <w:p w:rsidR="007A5731" w:rsidRDefault="000369DE" w:rsidP="000369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369DE">
        <w:rPr>
          <w:rFonts w:ascii="Times New Roman" w:hAnsi="Times New Roman" w:cs="Times New Roman"/>
          <w:sz w:val="24"/>
          <w:szCs w:val="24"/>
        </w:rPr>
        <w:t xml:space="preserve"> определить в решениях Думы поселений размер устанавливаемых льгот, а также провести мониторинг соответствия предоставляемых льгот налоговым органом  перечню льгот, утвержденному решением представительного органа поселения.</w:t>
      </w:r>
    </w:p>
    <w:p w:rsidR="00DF1E72" w:rsidRDefault="00DF1E72" w:rsidP="000369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1E72">
        <w:rPr>
          <w:rFonts w:ascii="Times New Roman" w:hAnsi="Times New Roman" w:cs="Times New Roman"/>
          <w:sz w:val="24"/>
          <w:szCs w:val="24"/>
        </w:rPr>
        <w:t>провести инвентаризацию налоговых льгот по местным налогам в целях их оптимизации, а также анализ действующих размеров ставок по местным налогам на предмет их оптимальности.</w:t>
      </w:r>
    </w:p>
    <w:p w:rsidR="000369DE" w:rsidRDefault="000369DE" w:rsidP="000369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69DE">
        <w:rPr>
          <w:rFonts w:ascii="Times New Roman" w:hAnsi="Times New Roman" w:cs="Times New Roman"/>
          <w:sz w:val="24"/>
          <w:szCs w:val="24"/>
        </w:rPr>
        <w:t xml:space="preserve"> усилить </w:t>
      </w:r>
      <w:proofErr w:type="gramStart"/>
      <w:r w:rsidRPr="000369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369DE">
        <w:rPr>
          <w:rFonts w:ascii="Times New Roman" w:hAnsi="Times New Roman" w:cs="Times New Roman"/>
          <w:sz w:val="24"/>
          <w:szCs w:val="24"/>
        </w:rPr>
        <w:t xml:space="preserve"> собираемостью имущественных налогов.</w:t>
      </w:r>
    </w:p>
    <w:p w:rsidR="000369DE" w:rsidRDefault="000369DE" w:rsidP="000369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9DE" w:rsidRDefault="000369DE" w:rsidP="000369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9DE" w:rsidRDefault="000369DE" w:rsidP="000369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9DE" w:rsidRDefault="000369DE" w:rsidP="000369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инспектор КСП ______________________________С. В. Герасименко</w:t>
      </w:r>
    </w:p>
    <w:sectPr w:rsidR="000369D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0F3" w:rsidRDefault="007F30F3" w:rsidP="00A35997">
      <w:pPr>
        <w:spacing w:after="0" w:line="240" w:lineRule="auto"/>
      </w:pPr>
      <w:r>
        <w:separator/>
      </w:r>
    </w:p>
  </w:endnote>
  <w:endnote w:type="continuationSeparator" w:id="0">
    <w:p w:rsidR="007F30F3" w:rsidRDefault="007F30F3" w:rsidP="00A35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4775003"/>
      <w:docPartObj>
        <w:docPartGallery w:val="Page Numbers (Bottom of Page)"/>
        <w:docPartUnique/>
      </w:docPartObj>
    </w:sdtPr>
    <w:sdtEndPr/>
    <w:sdtContent>
      <w:p w:rsidR="00526492" w:rsidRDefault="0052649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E72">
          <w:rPr>
            <w:noProof/>
          </w:rPr>
          <w:t>9</w:t>
        </w:r>
        <w:r>
          <w:fldChar w:fldCharType="end"/>
        </w:r>
      </w:p>
    </w:sdtContent>
  </w:sdt>
  <w:p w:rsidR="00526492" w:rsidRDefault="005264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0F3" w:rsidRDefault="007F30F3" w:rsidP="00A35997">
      <w:pPr>
        <w:spacing w:after="0" w:line="240" w:lineRule="auto"/>
      </w:pPr>
      <w:r>
        <w:separator/>
      </w:r>
    </w:p>
  </w:footnote>
  <w:footnote w:type="continuationSeparator" w:id="0">
    <w:p w:rsidR="007F30F3" w:rsidRDefault="007F30F3" w:rsidP="00A35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4E02"/>
    <w:multiLevelType w:val="hybridMultilevel"/>
    <w:tmpl w:val="8822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2E"/>
    <w:rsid w:val="00022270"/>
    <w:rsid w:val="00023891"/>
    <w:rsid w:val="000369DE"/>
    <w:rsid w:val="00047192"/>
    <w:rsid w:val="00086019"/>
    <w:rsid w:val="000A5455"/>
    <w:rsid w:val="001073A7"/>
    <w:rsid w:val="0012602B"/>
    <w:rsid w:val="0013018B"/>
    <w:rsid w:val="0016566B"/>
    <w:rsid w:val="00183CED"/>
    <w:rsid w:val="001932B6"/>
    <w:rsid w:val="00195EDC"/>
    <w:rsid w:val="001D4A27"/>
    <w:rsid w:val="001F4833"/>
    <w:rsid w:val="00224F64"/>
    <w:rsid w:val="002251FE"/>
    <w:rsid w:val="00260C54"/>
    <w:rsid w:val="00290F92"/>
    <w:rsid w:val="002A1B2D"/>
    <w:rsid w:val="002C244E"/>
    <w:rsid w:val="002C5782"/>
    <w:rsid w:val="002D062C"/>
    <w:rsid w:val="002D7293"/>
    <w:rsid w:val="002F6C51"/>
    <w:rsid w:val="00306A61"/>
    <w:rsid w:val="00311E35"/>
    <w:rsid w:val="00311FB4"/>
    <w:rsid w:val="00313DF0"/>
    <w:rsid w:val="00313FFE"/>
    <w:rsid w:val="00325D59"/>
    <w:rsid w:val="0034285A"/>
    <w:rsid w:val="003440FE"/>
    <w:rsid w:val="00355167"/>
    <w:rsid w:val="003A4E66"/>
    <w:rsid w:val="003D3893"/>
    <w:rsid w:val="003E507C"/>
    <w:rsid w:val="00467F32"/>
    <w:rsid w:val="00474B51"/>
    <w:rsid w:val="004A44DC"/>
    <w:rsid w:val="004B2A47"/>
    <w:rsid w:val="004C5F03"/>
    <w:rsid w:val="004D396D"/>
    <w:rsid w:val="004F15E9"/>
    <w:rsid w:val="00507F54"/>
    <w:rsid w:val="005132F2"/>
    <w:rsid w:val="00523705"/>
    <w:rsid w:val="00526492"/>
    <w:rsid w:val="00547E43"/>
    <w:rsid w:val="00550F1E"/>
    <w:rsid w:val="00552090"/>
    <w:rsid w:val="0057287A"/>
    <w:rsid w:val="005E6538"/>
    <w:rsid w:val="005F14B7"/>
    <w:rsid w:val="005F1AAE"/>
    <w:rsid w:val="00622931"/>
    <w:rsid w:val="00630855"/>
    <w:rsid w:val="00661712"/>
    <w:rsid w:val="00661BA2"/>
    <w:rsid w:val="00673B28"/>
    <w:rsid w:val="00674418"/>
    <w:rsid w:val="006A60AB"/>
    <w:rsid w:val="006B0072"/>
    <w:rsid w:val="006C5B2C"/>
    <w:rsid w:val="006D333E"/>
    <w:rsid w:val="006E1E5B"/>
    <w:rsid w:val="006E2316"/>
    <w:rsid w:val="00710D34"/>
    <w:rsid w:val="00711554"/>
    <w:rsid w:val="00711852"/>
    <w:rsid w:val="00717FAB"/>
    <w:rsid w:val="00730CA9"/>
    <w:rsid w:val="007320B1"/>
    <w:rsid w:val="007320DF"/>
    <w:rsid w:val="00754986"/>
    <w:rsid w:val="0075536F"/>
    <w:rsid w:val="00793CD4"/>
    <w:rsid w:val="007A19C2"/>
    <w:rsid w:val="007A241B"/>
    <w:rsid w:val="007A5731"/>
    <w:rsid w:val="007C2AD7"/>
    <w:rsid w:val="007D123B"/>
    <w:rsid w:val="007F30F3"/>
    <w:rsid w:val="008035A2"/>
    <w:rsid w:val="00831D08"/>
    <w:rsid w:val="008370DF"/>
    <w:rsid w:val="00870FA2"/>
    <w:rsid w:val="00886A05"/>
    <w:rsid w:val="008900D1"/>
    <w:rsid w:val="008A5ADF"/>
    <w:rsid w:val="008A6C43"/>
    <w:rsid w:val="008B6F9A"/>
    <w:rsid w:val="008D0A54"/>
    <w:rsid w:val="008F32B4"/>
    <w:rsid w:val="008F5E08"/>
    <w:rsid w:val="0090107F"/>
    <w:rsid w:val="009347FE"/>
    <w:rsid w:val="009407B6"/>
    <w:rsid w:val="00947FAF"/>
    <w:rsid w:val="00962815"/>
    <w:rsid w:val="00973AF3"/>
    <w:rsid w:val="009751B9"/>
    <w:rsid w:val="0097787B"/>
    <w:rsid w:val="00982604"/>
    <w:rsid w:val="009A2884"/>
    <w:rsid w:val="009A32E3"/>
    <w:rsid w:val="009B0441"/>
    <w:rsid w:val="009E08A9"/>
    <w:rsid w:val="009E228E"/>
    <w:rsid w:val="009F0CAA"/>
    <w:rsid w:val="00A35997"/>
    <w:rsid w:val="00A44DEF"/>
    <w:rsid w:val="00A53856"/>
    <w:rsid w:val="00A605F8"/>
    <w:rsid w:val="00A61970"/>
    <w:rsid w:val="00A8176F"/>
    <w:rsid w:val="00A90F7D"/>
    <w:rsid w:val="00AB147D"/>
    <w:rsid w:val="00AC348B"/>
    <w:rsid w:val="00AC7586"/>
    <w:rsid w:val="00AD7A49"/>
    <w:rsid w:val="00AD7CA2"/>
    <w:rsid w:val="00B12419"/>
    <w:rsid w:val="00B13967"/>
    <w:rsid w:val="00B44497"/>
    <w:rsid w:val="00B57416"/>
    <w:rsid w:val="00B66EEF"/>
    <w:rsid w:val="00B81EC4"/>
    <w:rsid w:val="00B97F09"/>
    <w:rsid w:val="00BC3522"/>
    <w:rsid w:val="00C16112"/>
    <w:rsid w:val="00C24ED0"/>
    <w:rsid w:val="00C81AB1"/>
    <w:rsid w:val="00C90C93"/>
    <w:rsid w:val="00CA4610"/>
    <w:rsid w:val="00CA4C77"/>
    <w:rsid w:val="00CB0F0D"/>
    <w:rsid w:val="00CB349A"/>
    <w:rsid w:val="00CE3C4C"/>
    <w:rsid w:val="00CF4B77"/>
    <w:rsid w:val="00D04BB0"/>
    <w:rsid w:val="00D11FE0"/>
    <w:rsid w:val="00D178A4"/>
    <w:rsid w:val="00D51B2F"/>
    <w:rsid w:val="00D556BF"/>
    <w:rsid w:val="00DA74E2"/>
    <w:rsid w:val="00DC1DE3"/>
    <w:rsid w:val="00DC71EA"/>
    <w:rsid w:val="00DC7FE8"/>
    <w:rsid w:val="00DF1E72"/>
    <w:rsid w:val="00E01DE5"/>
    <w:rsid w:val="00E2432C"/>
    <w:rsid w:val="00E40509"/>
    <w:rsid w:val="00E407EB"/>
    <w:rsid w:val="00E500A2"/>
    <w:rsid w:val="00E6705B"/>
    <w:rsid w:val="00E862F9"/>
    <w:rsid w:val="00E94B91"/>
    <w:rsid w:val="00EA02AF"/>
    <w:rsid w:val="00EA0359"/>
    <w:rsid w:val="00EA3D5B"/>
    <w:rsid w:val="00EA3DCA"/>
    <w:rsid w:val="00EB4E14"/>
    <w:rsid w:val="00EC3909"/>
    <w:rsid w:val="00ED7D2E"/>
    <w:rsid w:val="00EF3E30"/>
    <w:rsid w:val="00F057FF"/>
    <w:rsid w:val="00F10CC6"/>
    <w:rsid w:val="00F45E08"/>
    <w:rsid w:val="00F51F28"/>
    <w:rsid w:val="00F601AA"/>
    <w:rsid w:val="00F70B20"/>
    <w:rsid w:val="00F91220"/>
    <w:rsid w:val="00F9721C"/>
    <w:rsid w:val="00FB6113"/>
    <w:rsid w:val="00FC2679"/>
    <w:rsid w:val="00FC2CD0"/>
    <w:rsid w:val="00FC5ECD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D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35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5997"/>
  </w:style>
  <w:style w:type="paragraph" w:styleId="a7">
    <w:name w:val="footer"/>
    <w:basedOn w:val="a"/>
    <w:link w:val="a8"/>
    <w:uiPriority w:val="99"/>
    <w:unhideWhenUsed/>
    <w:rsid w:val="00A35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5997"/>
  </w:style>
  <w:style w:type="table" w:styleId="a9">
    <w:name w:val="Table Grid"/>
    <w:basedOn w:val="a1"/>
    <w:uiPriority w:val="59"/>
    <w:rsid w:val="00047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D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35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5997"/>
  </w:style>
  <w:style w:type="paragraph" w:styleId="a7">
    <w:name w:val="footer"/>
    <w:basedOn w:val="a"/>
    <w:link w:val="a8"/>
    <w:uiPriority w:val="99"/>
    <w:unhideWhenUsed/>
    <w:rsid w:val="00A35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5997"/>
  </w:style>
  <w:style w:type="table" w:styleId="a9">
    <w:name w:val="Table Grid"/>
    <w:basedOn w:val="a1"/>
    <w:uiPriority w:val="59"/>
    <w:rsid w:val="00047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FABAD-023B-45FC-A750-6C2D41DD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2999</TotalTime>
  <Pages>9</Pages>
  <Words>4312</Words>
  <Characters>24583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56</cp:revision>
  <dcterms:created xsi:type="dcterms:W3CDTF">2016-06-24T01:31:00Z</dcterms:created>
  <dcterms:modified xsi:type="dcterms:W3CDTF">2016-08-16T04:04:00Z</dcterms:modified>
</cp:coreProperties>
</file>