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Pr="002C54D6" w:rsidRDefault="0069533C" w:rsidP="0069533C">
      <w:pPr>
        <w:ind w:left="-360" w:right="-365" w:firstLine="360"/>
        <w:jc w:val="center"/>
        <w:rPr>
          <w:b/>
        </w:rPr>
      </w:pPr>
      <w:r w:rsidRPr="002C54D6">
        <w:rPr>
          <w:b/>
        </w:rPr>
        <w:t>РОССИЙСКАЯ ФЕДЕРАЦИЯ</w:t>
      </w:r>
    </w:p>
    <w:p w:rsidR="0069533C" w:rsidRPr="002C54D6" w:rsidRDefault="0069533C" w:rsidP="0069533C">
      <w:pPr>
        <w:ind w:right="-365"/>
        <w:jc w:val="center"/>
        <w:rPr>
          <w:b/>
        </w:rPr>
      </w:pPr>
    </w:p>
    <w:p w:rsidR="0069533C" w:rsidRPr="002C54D6" w:rsidRDefault="0069533C" w:rsidP="0069533C">
      <w:pPr>
        <w:ind w:right="-365"/>
        <w:jc w:val="center"/>
        <w:rPr>
          <w:b/>
        </w:rPr>
      </w:pPr>
      <w:r w:rsidRPr="002C54D6">
        <w:rPr>
          <w:b/>
        </w:rPr>
        <w:t>КОНТРОЛЬНО-СЧЕТНАЯ ПАЛАТА</w:t>
      </w:r>
    </w:p>
    <w:p w:rsidR="0069533C" w:rsidRPr="002C54D6" w:rsidRDefault="0069533C" w:rsidP="0069533C">
      <w:pPr>
        <w:ind w:right="-365"/>
        <w:jc w:val="center"/>
        <w:rPr>
          <w:b/>
        </w:rPr>
      </w:pPr>
      <w:r w:rsidRPr="002C54D6">
        <w:rPr>
          <w:b/>
        </w:rPr>
        <w:t>МУНИЦИПАЛЬНОГО ОБРАЗОВАНИЯ КУЙТУНСКИЙ РАЙОН</w:t>
      </w:r>
    </w:p>
    <w:p w:rsidR="0069533C" w:rsidRPr="002C54D6" w:rsidRDefault="0069533C" w:rsidP="0069533C">
      <w:pPr>
        <w:ind w:right="-365"/>
        <w:jc w:val="center"/>
        <w:rPr>
          <w:b/>
          <w:color w:val="FF0000"/>
        </w:rPr>
      </w:pPr>
    </w:p>
    <w:p w:rsidR="0069533C" w:rsidRPr="00207E00" w:rsidRDefault="00301C37" w:rsidP="005C75F8">
      <w:pPr>
        <w:tabs>
          <w:tab w:val="left" w:pos="0"/>
        </w:tabs>
        <w:jc w:val="center"/>
        <w:rPr>
          <w:b/>
        </w:rPr>
      </w:pPr>
      <w:r>
        <w:rPr>
          <w:b/>
        </w:rPr>
        <w:t>ОТЧЕТ</w:t>
      </w:r>
      <w:r w:rsidR="005C75F8">
        <w:rPr>
          <w:b/>
        </w:rPr>
        <w:t xml:space="preserve"> </w:t>
      </w:r>
      <w:r w:rsidR="001D0A56" w:rsidRPr="007F07BB">
        <w:rPr>
          <w:b/>
        </w:rPr>
        <w:t xml:space="preserve">№ </w:t>
      </w:r>
      <w:r w:rsidR="00B9690F">
        <w:rPr>
          <w:b/>
        </w:rPr>
        <w:t>0</w:t>
      </w:r>
      <w:r w:rsidR="007668C0">
        <w:rPr>
          <w:b/>
        </w:rPr>
        <w:t>7</w:t>
      </w:r>
    </w:p>
    <w:p w:rsidR="00B05BB1" w:rsidRDefault="00301C37" w:rsidP="000126BB">
      <w:pPr>
        <w:ind w:left="-1"/>
        <w:jc w:val="center"/>
      </w:pPr>
      <w:r>
        <w:t>по результатам</w:t>
      </w:r>
      <w:r w:rsidR="007668C0">
        <w:t xml:space="preserve"> контрольного мероприятия «Аудит эффективности использования бюджетных средств, выделенных на реализацию мероприятий муниципальной программы «Повышение эффективности управления муниципальными финансами МО Куйтунский район на 2011 – 2015годы».</w:t>
      </w:r>
    </w:p>
    <w:p w:rsidR="00B05BB1" w:rsidRDefault="00B05BB1" w:rsidP="00841E48">
      <w:pPr>
        <w:ind w:left="-283" w:firstLine="540"/>
        <w:jc w:val="center"/>
      </w:pPr>
    </w:p>
    <w:p w:rsidR="0069533C" w:rsidRDefault="003A0E87" w:rsidP="00D74792">
      <w:pPr>
        <w:ind w:firstLine="284"/>
        <w:jc w:val="both"/>
      </w:pPr>
      <w:r w:rsidRPr="003A0E87">
        <w:t>р.</w:t>
      </w:r>
      <w:r w:rsidR="0069533C" w:rsidRPr="003A0E87">
        <w:t>п.</w:t>
      </w:r>
      <w:r w:rsidR="005C75F8">
        <w:t xml:space="preserve"> </w:t>
      </w:r>
      <w:r w:rsidR="0069533C" w:rsidRPr="00D00F8F">
        <w:t xml:space="preserve">Куйтун                                                               </w:t>
      </w:r>
      <w:r w:rsidR="007668C0">
        <w:t xml:space="preserve">                        </w:t>
      </w:r>
      <w:r w:rsidR="005C75F8">
        <w:t xml:space="preserve">     </w:t>
      </w:r>
      <w:r w:rsidR="0069533C" w:rsidRPr="00D00F8F">
        <w:t xml:space="preserve">  </w:t>
      </w:r>
      <w:r w:rsidR="001F59E9">
        <w:t>22</w:t>
      </w:r>
      <w:r w:rsidR="007668C0">
        <w:t xml:space="preserve"> августа</w:t>
      </w:r>
      <w:r w:rsidR="001D0A56" w:rsidRPr="00D00F8F">
        <w:t xml:space="preserve"> 201</w:t>
      </w:r>
      <w:r w:rsidR="00B05BB1">
        <w:t>6</w:t>
      </w:r>
      <w:r w:rsidR="001D0A56" w:rsidRPr="00D00F8F">
        <w:t xml:space="preserve"> г.</w:t>
      </w:r>
    </w:p>
    <w:p w:rsidR="00301C37" w:rsidRDefault="00301C37" w:rsidP="00D74792">
      <w:pPr>
        <w:ind w:firstLine="284"/>
        <w:jc w:val="both"/>
      </w:pPr>
    </w:p>
    <w:p w:rsidR="005F267B" w:rsidRDefault="00301C37" w:rsidP="00D74792">
      <w:pPr>
        <w:ind w:firstLine="284"/>
        <w:jc w:val="both"/>
      </w:pPr>
      <w:r w:rsidRPr="00BC4846">
        <w:t>Настоящий отчет подготовлен</w:t>
      </w:r>
      <w:r>
        <w:t xml:space="preserve"> </w:t>
      </w:r>
      <w:r w:rsidR="007668C0">
        <w:t xml:space="preserve">исполняющим обязанности </w:t>
      </w:r>
      <w:r>
        <w:t>председател</w:t>
      </w:r>
      <w:r w:rsidR="007668C0">
        <w:t>я</w:t>
      </w:r>
      <w:r>
        <w:t xml:space="preserve"> КСП </w:t>
      </w:r>
      <w:r w:rsidR="007668C0">
        <w:t>Костюкевич А.А.</w:t>
      </w:r>
      <w:r w:rsidRPr="00BC4846">
        <w:t xml:space="preserve"> по итогам контрольного мероприятия </w:t>
      </w:r>
      <w:r>
        <w:t>«Аудит эффективности использования бюджетных средств</w:t>
      </w:r>
      <w:r w:rsidR="007668C0">
        <w:t>,</w:t>
      </w:r>
      <w:r>
        <w:t xml:space="preserve"> выделенных </w:t>
      </w:r>
      <w:r w:rsidR="007668C0">
        <w:t xml:space="preserve">на реализацию мероприятий муниципальной программы «Повышение эффективности управления муниципальными финансами МО Куйтунский район на 2011 – 2015годы» </w:t>
      </w:r>
      <w:r w:rsidR="007668C0">
        <w:rPr>
          <w:color w:val="000000"/>
        </w:rPr>
        <w:t xml:space="preserve"> на основании акта проверки </w:t>
      </w:r>
      <w:r>
        <w:rPr>
          <w:color w:val="000000"/>
        </w:rPr>
        <w:t>№</w:t>
      </w:r>
      <w:r w:rsidR="007668C0">
        <w:rPr>
          <w:color w:val="000000"/>
        </w:rPr>
        <w:t xml:space="preserve"> </w:t>
      </w:r>
      <w:r>
        <w:rPr>
          <w:color w:val="000000"/>
        </w:rPr>
        <w:t>3</w:t>
      </w:r>
      <w:r w:rsidR="007668C0">
        <w:rPr>
          <w:color w:val="000000"/>
        </w:rPr>
        <w:t>6</w:t>
      </w:r>
      <w:r>
        <w:rPr>
          <w:color w:val="000000"/>
        </w:rPr>
        <w:t xml:space="preserve"> от 0</w:t>
      </w:r>
      <w:r w:rsidR="007668C0">
        <w:rPr>
          <w:color w:val="000000"/>
        </w:rPr>
        <w:t>5</w:t>
      </w:r>
      <w:r>
        <w:rPr>
          <w:color w:val="000000"/>
        </w:rPr>
        <w:t>.0</w:t>
      </w:r>
      <w:r w:rsidR="007668C0">
        <w:rPr>
          <w:color w:val="000000"/>
        </w:rPr>
        <w:t>8</w:t>
      </w:r>
      <w:r>
        <w:rPr>
          <w:color w:val="000000"/>
        </w:rPr>
        <w:t xml:space="preserve">.2016 года, подготовленного </w:t>
      </w:r>
      <w:r w:rsidR="005F267B">
        <w:t>ведущим инспектором</w:t>
      </w:r>
      <w:r w:rsidR="005F267B" w:rsidRPr="00D00F8F">
        <w:t xml:space="preserve"> КСП </w:t>
      </w:r>
      <w:r w:rsidR="005F267B">
        <w:t>Герасименко С. В.</w:t>
      </w:r>
      <w:r w:rsidR="005F267B" w:rsidRPr="00D00F8F">
        <w:t xml:space="preserve"> </w:t>
      </w:r>
      <w:r w:rsidR="005F267B">
        <w:t xml:space="preserve"> </w:t>
      </w:r>
    </w:p>
    <w:p w:rsidR="00301C37" w:rsidRPr="00BC4846" w:rsidRDefault="00301C37" w:rsidP="00D74792">
      <w:pPr>
        <w:ind w:firstLine="284"/>
        <w:jc w:val="both"/>
        <w:rPr>
          <w:b/>
        </w:rPr>
      </w:pPr>
      <w:r w:rsidRPr="00BC4846">
        <w:rPr>
          <w:b/>
        </w:rPr>
        <w:t>Основание для проведения контрольного мероприятия:</w:t>
      </w:r>
    </w:p>
    <w:p w:rsidR="00301C37" w:rsidRPr="00BC4846" w:rsidRDefault="00301C37" w:rsidP="00D74792">
      <w:pPr>
        <w:ind w:firstLine="284"/>
        <w:jc w:val="both"/>
      </w:pPr>
      <w:r w:rsidRPr="00BC4846">
        <w:t>Федеральный закон от 07.02.2011 года №6-ФЗ «Об общих принципах организации и деятельности контрольно-счетных органов  субъектов Российской Федерации и муниципальных об</w:t>
      </w:r>
      <w:r w:rsidR="00810F26">
        <w:t>разований», п.4.</w:t>
      </w:r>
      <w:r w:rsidR="005F267B">
        <w:t>6</w:t>
      </w:r>
      <w:r w:rsidR="00810F26">
        <w:t xml:space="preserve"> </w:t>
      </w:r>
      <w:r w:rsidRPr="00BC4846">
        <w:t xml:space="preserve"> плана работы Контрольно-счетной палат</w:t>
      </w:r>
      <w:r>
        <w:t>ы на 2016</w:t>
      </w:r>
      <w:r w:rsidRPr="00BC4846">
        <w:t xml:space="preserve"> год.</w:t>
      </w:r>
    </w:p>
    <w:p w:rsidR="00301C37" w:rsidRPr="00BC4846" w:rsidRDefault="00301C37" w:rsidP="00D74792">
      <w:pPr>
        <w:ind w:firstLine="284"/>
        <w:jc w:val="both"/>
      </w:pPr>
      <w:r w:rsidRPr="00BC4846">
        <w:rPr>
          <w:b/>
        </w:rPr>
        <w:t xml:space="preserve">Предмет контрольного мероприятия: </w:t>
      </w:r>
      <w:r w:rsidR="00810F26">
        <w:t>средства местного бюджета</w:t>
      </w:r>
      <w:r w:rsidRPr="00BC4846">
        <w:t>, выделенн</w:t>
      </w:r>
      <w:r w:rsidR="00810F26">
        <w:t>ы</w:t>
      </w:r>
      <w:r w:rsidR="005F267B">
        <w:t>е</w:t>
      </w:r>
      <w:r w:rsidR="00810F26">
        <w:t xml:space="preserve"> на реализацию мероприятий программы</w:t>
      </w:r>
      <w:r w:rsidRPr="00BC4846">
        <w:t>.</w:t>
      </w:r>
    </w:p>
    <w:p w:rsidR="00301C37" w:rsidRPr="006C2D4C" w:rsidRDefault="00301C37" w:rsidP="00D74792">
      <w:pPr>
        <w:ind w:firstLine="284"/>
        <w:jc w:val="both"/>
      </w:pPr>
      <w:r w:rsidRPr="00BC4846">
        <w:rPr>
          <w:b/>
        </w:rPr>
        <w:t>Объект контрольного мероприятия:</w:t>
      </w:r>
      <w:r>
        <w:t xml:space="preserve">  </w:t>
      </w:r>
      <w:r w:rsidR="006C2D4C" w:rsidRPr="006C2D4C">
        <w:t>главные распорядители бюджетных средств (ГРБС)</w:t>
      </w:r>
      <w:r w:rsidRPr="006C2D4C">
        <w:t>.</w:t>
      </w:r>
    </w:p>
    <w:p w:rsidR="00D74792" w:rsidRPr="005E7FED" w:rsidRDefault="00301C37" w:rsidP="00D74792">
      <w:pPr>
        <w:ind w:right="-1" w:firstLine="284"/>
        <w:jc w:val="both"/>
      </w:pPr>
      <w:r w:rsidRPr="00BC4846">
        <w:rPr>
          <w:b/>
        </w:rPr>
        <w:t xml:space="preserve">Срок проведения контрольного мероприятия: </w:t>
      </w:r>
      <w:r>
        <w:t xml:space="preserve">с  </w:t>
      </w:r>
      <w:r w:rsidR="00D74792">
        <w:t>04</w:t>
      </w:r>
      <w:r w:rsidR="00D74792" w:rsidRPr="00D00F8F">
        <w:t>.</w:t>
      </w:r>
      <w:r w:rsidR="00D74792">
        <w:t>07</w:t>
      </w:r>
      <w:r w:rsidR="00D74792" w:rsidRPr="00D00F8F">
        <w:t>.201</w:t>
      </w:r>
      <w:r w:rsidR="00D74792">
        <w:t>6</w:t>
      </w:r>
      <w:r w:rsidR="00D74792" w:rsidRPr="00D00F8F">
        <w:t xml:space="preserve"> г. по </w:t>
      </w:r>
      <w:r w:rsidR="00D74792">
        <w:t>10</w:t>
      </w:r>
      <w:r w:rsidR="00D74792" w:rsidRPr="00D00F8F">
        <w:t>.</w:t>
      </w:r>
      <w:r w:rsidR="00D74792">
        <w:t>08</w:t>
      </w:r>
      <w:r w:rsidR="00D74792" w:rsidRPr="00D00F8F">
        <w:t>.</w:t>
      </w:r>
      <w:r w:rsidR="00D74792" w:rsidRPr="005E7FED">
        <w:t>201</w:t>
      </w:r>
      <w:r w:rsidR="00D74792">
        <w:t>6</w:t>
      </w:r>
      <w:r w:rsidR="00D74792" w:rsidRPr="005E7FED">
        <w:t>г.</w:t>
      </w:r>
    </w:p>
    <w:p w:rsidR="00301C37" w:rsidRPr="00BC4846" w:rsidRDefault="00301C37" w:rsidP="00D74792">
      <w:pPr>
        <w:ind w:right="-1" w:firstLine="284"/>
        <w:jc w:val="both"/>
      </w:pPr>
      <w:r w:rsidRPr="00BC4846">
        <w:rPr>
          <w:b/>
        </w:rPr>
        <w:t>Цель контрольного мероприятия:</w:t>
      </w:r>
      <w:r w:rsidRPr="00BC4846">
        <w:t xml:space="preserve"> проверка соблюдения действующего законодательства при использовании </w:t>
      </w:r>
      <w:r>
        <w:t>средств бюджета</w:t>
      </w:r>
      <w:r w:rsidRPr="00BC4846">
        <w:t>.</w:t>
      </w:r>
    </w:p>
    <w:p w:rsidR="00301C37" w:rsidRDefault="00301C37" w:rsidP="00D74792">
      <w:pPr>
        <w:ind w:firstLine="284"/>
        <w:jc w:val="both"/>
        <w:rPr>
          <w:b/>
        </w:rPr>
      </w:pPr>
      <w:r>
        <w:rPr>
          <w:b/>
        </w:rPr>
        <w:t>Проверяемый период:</w:t>
      </w:r>
      <w:r w:rsidR="00D74792">
        <w:rPr>
          <w:b/>
        </w:rPr>
        <w:t xml:space="preserve"> </w:t>
      </w:r>
      <w:r>
        <w:rPr>
          <w:b/>
        </w:rPr>
        <w:t>201</w:t>
      </w:r>
      <w:r w:rsidR="00D74792">
        <w:rPr>
          <w:b/>
        </w:rPr>
        <w:t>1</w:t>
      </w:r>
      <w:r>
        <w:rPr>
          <w:b/>
        </w:rPr>
        <w:t>- 2015</w:t>
      </w:r>
      <w:r w:rsidRPr="00BC4846">
        <w:rPr>
          <w:b/>
        </w:rPr>
        <w:t xml:space="preserve"> год</w:t>
      </w:r>
      <w:r w:rsidR="00AA1DDC">
        <w:rPr>
          <w:b/>
        </w:rPr>
        <w:t>ы</w:t>
      </w:r>
      <w:r w:rsidRPr="00BC4846">
        <w:rPr>
          <w:b/>
        </w:rPr>
        <w:t>.</w:t>
      </w:r>
    </w:p>
    <w:p w:rsidR="00D74792" w:rsidRDefault="00D74792" w:rsidP="00D74792">
      <w:pPr>
        <w:ind w:right="-1" w:firstLine="284"/>
        <w:jc w:val="both"/>
      </w:pPr>
      <w:r>
        <w:rPr>
          <w:b/>
        </w:rPr>
        <w:t xml:space="preserve">Объем проверенных финансовых средств - </w:t>
      </w:r>
      <w:r w:rsidRPr="00B02493">
        <w:t>93446,5</w:t>
      </w:r>
      <w:r>
        <w:t xml:space="preserve"> </w:t>
      </w:r>
      <w:r w:rsidRPr="00854F5E">
        <w:t>тыс. рублей</w:t>
      </w:r>
      <w:r>
        <w:t>.</w:t>
      </w:r>
    </w:p>
    <w:p w:rsidR="00301C37" w:rsidRPr="00BC4846" w:rsidRDefault="00301C37" w:rsidP="00D74792">
      <w:pPr>
        <w:ind w:firstLine="284"/>
        <w:jc w:val="both"/>
        <w:rPr>
          <w:b/>
        </w:rPr>
      </w:pPr>
      <w:r w:rsidRPr="00BC4846">
        <w:rPr>
          <w:b/>
        </w:rPr>
        <w:t>Результаты контрольного мероприятия</w:t>
      </w:r>
      <w:r>
        <w:rPr>
          <w:b/>
        </w:rPr>
        <w:t>:</w:t>
      </w:r>
    </w:p>
    <w:p w:rsidR="00F704FE" w:rsidRDefault="00F704FE" w:rsidP="00F704FE">
      <w:pPr>
        <w:ind w:left="-284" w:right="-1" w:firstLine="284"/>
        <w:jc w:val="center"/>
        <w:rPr>
          <w:b/>
        </w:rPr>
      </w:pPr>
    </w:p>
    <w:p w:rsidR="005C3734" w:rsidRDefault="00301C37" w:rsidP="00F704FE">
      <w:pPr>
        <w:ind w:left="-284" w:right="-1" w:firstLine="284"/>
        <w:jc w:val="center"/>
        <w:rPr>
          <w:b/>
        </w:rPr>
      </w:pPr>
      <w:r w:rsidRPr="00BC4846">
        <w:rPr>
          <w:b/>
        </w:rPr>
        <w:t xml:space="preserve">1. </w:t>
      </w:r>
      <w:r w:rsidR="00F704FE">
        <w:rPr>
          <w:b/>
        </w:rPr>
        <w:t>Общие сведения, ц</w:t>
      </w:r>
      <w:r w:rsidR="00A057D2" w:rsidRPr="002E3F50">
        <w:rPr>
          <w:b/>
        </w:rPr>
        <w:t xml:space="preserve">ели, задачи и </w:t>
      </w:r>
      <w:r w:rsidR="00130220" w:rsidRPr="002E3F50">
        <w:rPr>
          <w:b/>
        </w:rPr>
        <w:t>мероприяти</w:t>
      </w:r>
      <w:r w:rsidR="00A057D2" w:rsidRPr="002E3F50">
        <w:rPr>
          <w:b/>
        </w:rPr>
        <w:t>я</w:t>
      </w:r>
      <w:r w:rsidR="00F704FE">
        <w:rPr>
          <w:b/>
        </w:rPr>
        <w:t xml:space="preserve"> </w:t>
      </w:r>
      <w:r w:rsidR="00D640FF" w:rsidRPr="002E3F50">
        <w:rPr>
          <w:b/>
        </w:rPr>
        <w:t>программы</w:t>
      </w:r>
    </w:p>
    <w:p w:rsidR="00CB57DA" w:rsidRPr="002E3F50" w:rsidRDefault="00CB57DA" w:rsidP="00CB57DA">
      <w:pPr>
        <w:ind w:left="900" w:right="-1"/>
        <w:rPr>
          <w:b/>
        </w:rPr>
      </w:pPr>
    </w:p>
    <w:p w:rsidR="00F704FE" w:rsidRPr="00F704FE" w:rsidRDefault="001069D3" w:rsidP="00F704FE">
      <w:pPr>
        <w:ind w:right="-1" w:firstLine="540"/>
        <w:jc w:val="both"/>
        <w:rPr>
          <w:highlight w:val="yellow"/>
        </w:rPr>
      </w:pPr>
      <w:r>
        <w:t xml:space="preserve">Муниципальная программа </w:t>
      </w:r>
      <w:r w:rsidR="00F704FE" w:rsidRPr="00F704FE">
        <w:t>«Повышение эффективности управления муниципальными финансами МО Куйтунский район на 2011-2013 годы» (далее – Программа) разработана на основании распоряжения Правительства Российской Федерации от 30.06.2010г. № 1101-р «Об утверждении Программы Правительства Российской Федерации по повышению эффективности бюджетных расходов на период до 2015года» и утверждена постановлением Администрации МО Куйтунский район от 31.01.2011г. № 78.</w:t>
      </w:r>
      <w:r w:rsidR="00F704FE" w:rsidRPr="00F704FE">
        <w:rPr>
          <w:highlight w:val="yellow"/>
        </w:rPr>
        <w:t xml:space="preserve"> </w:t>
      </w:r>
    </w:p>
    <w:p w:rsidR="00F704FE" w:rsidRDefault="00F704FE" w:rsidP="00F704FE">
      <w:pPr>
        <w:ind w:right="-1" w:firstLine="540"/>
        <w:jc w:val="both"/>
      </w:pPr>
      <w:r w:rsidRPr="00F704FE">
        <w:t>Разработчиками Программы являются Финансовое Управление Администрации МО Куйтунский район (далее – ФУА) и Планово-экономическое Управление МО (далее по тексту – ЭУА).</w:t>
      </w:r>
    </w:p>
    <w:p w:rsidR="00F704FE" w:rsidRPr="00F704FE" w:rsidRDefault="00F704FE" w:rsidP="00F704FE">
      <w:pPr>
        <w:ind w:right="-1" w:firstLine="540"/>
        <w:jc w:val="both"/>
      </w:pPr>
      <w:r w:rsidRPr="00F704FE">
        <w:t>Основной целью Программы является укрепление доходной базы бюджета района и повышение эффективности бюджетных расходов.</w:t>
      </w:r>
    </w:p>
    <w:p w:rsidR="009C128A" w:rsidRDefault="00F704FE" w:rsidP="009C128A">
      <w:pPr>
        <w:ind w:right="-1" w:firstLine="540"/>
        <w:jc w:val="both"/>
      </w:pPr>
      <w:r w:rsidRPr="005D399A">
        <w:t>Срок реализации Программы: 2011 – 2013 годы.</w:t>
      </w:r>
    </w:p>
    <w:p w:rsidR="009C128A" w:rsidRDefault="00E456EE" w:rsidP="009C128A">
      <w:pPr>
        <w:ind w:right="-1" w:firstLine="540"/>
        <w:jc w:val="both"/>
      </w:pPr>
      <w:r w:rsidRPr="00E456EE">
        <w:t xml:space="preserve">Следует отметить, что долгосрочные целевые программы, предлагаемые к финансированию начиная с очередного финансового года, подлежат утверждению местной администрацией муниципального образования </w:t>
      </w:r>
      <w:r w:rsidRPr="00E456EE">
        <w:rPr>
          <w:u w:val="single"/>
        </w:rPr>
        <w:t>не позднее одного месяца до дня внесения проекта закона (решения)</w:t>
      </w:r>
      <w:r w:rsidRPr="00E456EE">
        <w:t xml:space="preserve"> о соответствующем бюджете в законодательный (представительный) орган. Программа «Повышение эффективности управления </w:t>
      </w:r>
      <w:r w:rsidRPr="00E456EE">
        <w:lastRenderedPageBreak/>
        <w:t xml:space="preserve">муниципальными финансами МО Куйтунский район на 2011-2013 годы» </w:t>
      </w:r>
      <w:r w:rsidRPr="00E456EE">
        <w:rPr>
          <w:b/>
        </w:rPr>
        <w:t>утверждена 31.01.2011</w:t>
      </w:r>
      <w:r w:rsidR="00164A71">
        <w:rPr>
          <w:b/>
        </w:rPr>
        <w:t xml:space="preserve"> </w:t>
      </w:r>
      <w:r w:rsidRPr="00E456EE">
        <w:rPr>
          <w:b/>
        </w:rPr>
        <w:t>года</w:t>
      </w:r>
      <w:r w:rsidRPr="00E456EE">
        <w:t xml:space="preserve">, </w:t>
      </w:r>
      <w:r w:rsidRPr="00E456EE">
        <w:rPr>
          <w:b/>
        </w:rPr>
        <w:t>что свидетельствует о нарушении сроков её утверждения</w:t>
      </w:r>
      <w:r w:rsidR="00164A71">
        <w:rPr>
          <w:b/>
        </w:rPr>
        <w:t xml:space="preserve"> и является нарушением п. 2 ст. 179 БК РФ</w:t>
      </w:r>
      <w:r w:rsidR="009C128A">
        <w:rPr>
          <w:b/>
        </w:rPr>
        <w:t xml:space="preserve">, </w:t>
      </w:r>
      <w:r w:rsidR="00164A71">
        <w:rPr>
          <w:b/>
        </w:rPr>
        <w:t xml:space="preserve"> </w:t>
      </w:r>
      <w:r w:rsidR="009C128A">
        <w:rPr>
          <w:b/>
        </w:rPr>
        <w:t xml:space="preserve">п. 3.5 </w:t>
      </w:r>
      <w:r w:rsidR="009C128A" w:rsidRPr="009C128A">
        <w:rPr>
          <w:b/>
        </w:rPr>
        <w:t>Порядка разработки и реализации долгосрочных целевых программ МО Куйтунский район</w:t>
      </w:r>
      <w:r w:rsidR="009C128A">
        <w:t>, утвержденного постановлением администрации от 23.06.2010г. № 486</w:t>
      </w:r>
      <w:r w:rsidR="009C128A" w:rsidRPr="009C128A">
        <w:t xml:space="preserve"> </w:t>
      </w:r>
      <w:r w:rsidR="009C128A">
        <w:t xml:space="preserve">(пункт </w:t>
      </w:r>
      <w:r w:rsidR="00164941">
        <w:t xml:space="preserve">1.1.18 </w:t>
      </w:r>
      <w:r w:rsidR="009C128A">
        <w:t>Классификатора нарушений).</w:t>
      </w:r>
    </w:p>
    <w:p w:rsidR="00E456EE" w:rsidRPr="00ED0890" w:rsidRDefault="00E456EE" w:rsidP="00E456EE">
      <w:pPr>
        <w:ind w:right="-1" w:firstLine="540"/>
        <w:jc w:val="both"/>
      </w:pPr>
      <w:r w:rsidRPr="00ED0890">
        <w:t>Ответственными исполнителями Программы являлись Администрация</w:t>
      </w:r>
      <w:r w:rsidR="00ED0890" w:rsidRPr="00ED0890">
        <w:t xml:space="preserve"> </w:t>
      </w:r>
      <w:r w:rsidRPr="00ED0890">
        <w:t>МО Куйтунский район, ФУА, Планово-экономическое Управление, главные администраторы доходов бюджета района, ГРБС.</w:t>
      </w:r>
    </w:p>
    <w:p w:rsidR="00E456EE" w:rsidRPr="00ED0890" w:rsidRDefault="00E456EE" w:rsidP="00E456EE">
      <w:pPr>
        <w:ind w:right="-1" w:firstLine="540"/>
        <w:jc w:val="both"/>
      </w:pPr>
      <w:r w:rsidRPr="00ED0890">
        <w:t>Непосредственный контроль за исполнением мероприятий Программы осуществляется</w:t>
      </w:r>
      <w:r w:rsidR="00ED0890" w:rsidRPr="00ED0890">
        <w:t xml:space="preserve"> </w:t>
      </w:r>
      <w:r w:rsidRPr="00ED0890">
        <w:t xml:space="preserve">ФУА и ЭУА, которые несут ответственность за эффективность и результативность Программы. Кураторы Программы – ФУА и ЭУА. </w:t>
      </w:r>
    </w:p>
    <w:p w:rsidR="00E456EE" w:rsidRPr="00ED0890" w:rsidRDefault="00E456EE" w:rsidP="00E456EE">
      <w:pPr>
        <w:ind w:right="-1" w:firstLine="540"/>
        <w:jc w:val="both"/>
      </w:pPr>
      <w:r w:rsidRPr="00ED0890">
        <w:t xml:space="preserve">Основными задачами Программы являются: </w:t>
      </w:r>
    </w:p>
    <w:p w:rsidR="00E456EE" w:rsidRPr="00ED0890" w:rsidRDefault="00E456EE" w:rsidP="00E456EE">
      <w:pPr>
        <w:ind w:right="-1" w:firstLine="540"/>
        <w:jc w:val="both"/>
      </w:pPr>
      <w:r w:rsidRPr="00ED0890">
        <w:t>1) увеличение доходов бюджета района;</w:t>
      </w:r>
    </w:p>
    <w:p w:rsidR="00E456EE" w:rsidRPr="00ED0890" w:rsidRDefault="00E456EE" w:rsidP="00E456EE">
      <w:pPr>
        <w:ind w:right="-1" w:firstLine="540"/>
        <w:jc w:val="both"/>
      </w:pPr>
      <w:r w:rsidRPr="00ED0890">
        <w:t>2)</w:t>
      </w:r>
      <w:r w:rsidR="00ED0890" w:rsidRPr="00ED0890">
        <w:t xml:space="preserve"> </w:t>
      </w:r>
      <w:r w:rsidRPr="00ED0890">
        <w:t>совершенствование бюджетного процесса в муниципальном образовании Куйтунский район;</w:t>
      </w:r>
    </w:p>
    <w:p w:rsidR="00E456EE" w:rsidRPr="00ED0890" w:rsidRDefault="00E456EE" w:rsidP="00E456EE">
      <w:pPr>
        <w:ind w:right="-1" w:firstLine="540"/>
        <w:jc w:val="both"/>
      </w:pPr>
      <w:r w:rsidRPr="00ED0890">
        <w:t>3)</w:t>
      </w:r>
      <w:r w:rsidR="00ED0890" w:rsidRPr="00ED0890">
        <w:t xml:space="preserve"> </w:t>
      </w:r>
      <w:r w:rsidRPr="00ED0890">
        <w:t>развитие бюджетирования, ориентированного на результат;</w:t>
      </w:r>
    </w:p>
    <w:p w:rsidR="00E456EE" w:rsidRPr="00ED0890" w:rsidRDefault="00E456EE" w:rsidP="00E456EE">
      <w:pPr>
        <w:ind w:right="-1" w:firstLine="540"/>
        <w:jc w:val="both"/>
      </w:pPr>
      <w:r w:rsidRPr="00ED0890">
        <w:t>4)</w:t>
      </w:r>
      <w:r w:rsidR="00ED0890" w:rsidRPr="00ED0890">
        <w:t xml:space="preserve"> </w:t>
      </w:r>
      <w:r w:rsidRPr="00ED0890">
        <w:t>повышение результативности муниципального финансового контроля.</w:t>
      </w:r>
    </w:p>
    <w:p w:rsidR="00E456EE" w:rsidRPr="00ED0890" w:rsidRDefault="00E456EE" w:rsidP="00E456EE">
      <w:pPr>
        <w:ind w:right="-1" w:firstLine="540"/>
        <w:jc w:val="both"/>
      </w:pPr>
      <w:r w:rsidRPr="00ED0890">
        <w:t>Реализация Программы осуществляется комплексом мероприятий в соответствии с приложением к Программе, где запланировано 49 мероприятий. Все мероприятия направлены на достижение двух целей: укрепление доходной базы бюджета района и повышение эффективности бюджетных расходов.</w:t>
      </w:r>
    </w:p>
    <w:p w:rsidR="00E456EE" w:rsidRPr="00ED0890" w:rsidRDefault="00E456EE" w:rsidP="00E456EE">
      <w:pPr>
        <w:ind w:right="-1" w:firstLine="540"/>
        <w:jc w:val="both"/>
      </w:pPr>
      <w:r w:rsidRPr="00ED0890">
        <w:t>Ежегодными показателями, характеризующими уровень достижения цели, являются индикаторы результативности Программы.</w:t>
      </w:r>
    </w:p>
    <w:p w:rsidR="00E456EE" w:rsidRDefault="00E456EE" w:rsidP="00E456EE">
      <w:pPr>
        <w:ind w:right="-1" w:firstLine="540"/>
        <w:jc w:val="both"/>
      </w:pPr>
      <w:r w:rsidRPr="00ED0890">
        <w:t>В течение срока действия Программы изменения вносились десять раз: 19.01.2012, 24.04.2012года, 28.05.2012, 25.06.2012, 18.10.2012, 27.12.2012, 15.04.2013, 06.08.2013, 25.10.2013, 02.12.2014.</w:t>
      </w:r>
    </w:p>
    <w:p w:rsidR="00ED0890" w:rsidRPr="00ED0890" w:rsidRDefault="00ED0890" w:rsidP="00E456EE">
      <w:pPr>
        <w:ind w:right="-1" w:firstLine="540"/>
        <w:jc w:val="both"/>
      </w:pPr>
      <w:r w:rsidRPr="00ED0890">
        <w:t>Постановлением Администрации от 18.10.2012 № 799-п внесены изменения в Программу «Повышение эффективности управления муниципальными финансами МО Куйтунский район на 2011-2013 годы». Изменениями срок действия Программы установлен до 2015 года, в связи, с чем изменился и заголовок программы, и в паспорте программы цифры «2013» заменены на цифры «2015».</w:t>
      </w:r>
    </w:p>
    <w:p w:rsidR="00E456EE" w:rsidRDefault="00442C01" w:rsidP="00F704FE">
      <w:pPr>
        <w:ind w:right="-1" w:firstLine="540"/>
        <w:jc w:val="both"/>
      </w:pPr>
      <w:r w:rsidRPr="00442C01">
        <w:t>06.08.2013 года изменения коснулись текстовой части в связи с изменениями Бюджетного Кодекса, где слова «долгосрочная целевая программа» заменены на слова «муниципальная программа».</w:t>
      </w:r>
    </w:p>
    <w:p w:rsidR="00E456EE" w:rsidRDefault="00E456EE" w:rsidP="00F704FE">
      <w:pPr>
        <w:ind w:right="-1" w:firstLine="540"/>
        <w:jc w:val="both"/>
      </w:pPr>
    </w:p>
    <w:p w:rsidR="00E456EE" w:rsidRDefault="00E456EE" w:rsidP="00E456EE">
      <w:pPr>
        <w:ind w:right="-1" w:firstLine="540"/>
        <w:jc w:val="center"/>
        <w:rPr>
          <w:b/>
        </w:rPr>
      </w:pPr>
      <w:r w:rsidRPr="00E456EE">
        <w:rPr>
          <w:b/>
        </w:rPr>
        <w:t>2. Ресурсное и финансовое обеспечение мероприятий программы</w:t>
      </w:r>
    </w:p>
    <w:p w:rsidR="00E456EE" w:rsidRPr="00E456EE" w:rsidRDefault="00E456EE" w:rsidP="00E456EE">
      <w:pPr>
        <w:ind w:right="-1" w:firstLine="540"/>
        <w:jc w:val="center"/>
        <w:rPr>
          <w:b/>
        </w:rPr>
      </w:pPr>
    </w:p>
    <w:p w:rsidR="00ED0890" w:rsidRDefault="00F704FE" w:rsidP="00F704FE">
      <w:pPr>
        <w:ind w:right="-1" w:firstLine="540"/>
        <w:jc w:val="both"/>
      </w:pPr>
      <w:r w:rsidRPr="00E456EE">
        <w:t xml:space="preserve">Общий объем расходов на реализацию Программы в первоначальной её редакции не установлен. </w:t>
      </w:r>
    </w:p>
    <w:p w:rsidR="00442C01" w:rsidRPr="00E456EE" w:rsidRDefault="00442C01" w:rsidP="00442C01">
      <w:pPr>
        <w:ind w:right="-1" w:firstLine="540"/>
        <w:jc w:val="both"/>
      </w:pPr>
      <w:r w:rsidRPr="000126BB">
        <w:t>На 2011 год</w:t>
      </w:r>
      <w:r w:rsidRPr="00E456EE">
        <w:t xml:space="preserve"> финансовое обеспечение Программы не планировалось и в бюджете муниципального образования Куйтунский район не предусматривалось.</w:t>
      </w:r>
    </w:p>
    <w:p w:rsidR="00F704FE" w:rsidRPr="00E456EE" w:rsidRDefault="00F704FE" w:rsidP="00F704FE">
      <w:pPr>
        <w:ind w:right="-1" w:firstLine="540"/>
        <w:jc w:val="both"/>
      </w:pPr>
      <w:r w:rsidRPr="00E456EE">
        <w:t>А в редакции постановления Администрации от 24.04.2012 № 132-п финансовое обеспечение Программы предусмотрено в сумме 14482</w:t>
      </w:r>
      <w:r w:rsidR="005D399A" w:rsidRPr="00E456EE">
        <w:t xml:space="preserve"> </w:t>
      </w:r>
      <w:r w:rsidRPr="00E456EE">
        <w:t>тыс. рублей только на первое полугодие 2012 года, из них средства районного бюджета – 1767</w:t>
      </w:r>
      <w:r w:rsidR="005D399A" w:rsidRPr="00E456EE">
        <w:t xml:space="preserve"> </w:t>
      </w:r>
      <w:r w:rsidRPr="00E456EE">
        <w:t>тыс. рублей, средства областного бюджета – 12715</w:t>
      </w:r>
      <w:r w:rsidR="005D399A" w:rsidRPr="00E456EE">
        <w:t xml:space="preserve"> </w:t>
      </w:r>
      <w:r w:rsidRPr="00E456EE">
        <w:t>тыс. рублей. При этом отмечено, что общий объем расходов на реализацию Программы определяется при формировании бюджета района на очередной финансовый год на основании предоставления межбюджетных трансфертов из областного бюджета в три этапа: 1 этап – до 1 января соответствующего года, 2 этап – до 1 июля соответствующего года, 3 этап – до 1 октября соответствующего года.</w:t>
      </w:r>
    </w:p>
    <w:p w:rsidR="000F163D" w:rsidRDefault="00F704FE" w:rsidP="00834822">
      <w:pPr>
        <w:ind w:right="-1" w:firstLine="540"/>
        <w:jc w:val="both"/>
      </w:pPr>
      <w:r w:rsidRPr="00ED0890">
        <w:t>Постановлением Администрации от 18.10.2012 № 799-п внесены изменения в Программу</w:t>
      </w:r>
      <w:r w:rsidR="00ED0890" w:rsidRPr="00ED0890">
        <w:t>, в результате</w:t>
      </w:r>
      <w:r w:rsidRPr="00ED0890">
        <w:t xml:space="preserve"> </w:t>
      </w:r>
      <w:r w:rsidR="00ED0890" w:rsidRPr="00ED0890">
        <w:t>п</w:t>
      </w:r>
      <w:r w:rsidRPr="00ED0890">
        <w:t xml:space="preserve">редлагаемые объемы финансирования Программы утверждены в следующих объемах: </w:t>
      </w:r>
      <w:r w:rsidRPr="00834822">
        <w:t>на 1 полугодие 2012</w:t>
      </w:r>
      <w:r w:rsidR="00ED0890" w:rsidRPr="00834822">
        <w:t xml:space="preserve"> </w:t>
      </w:r>
      <w:r w:rsidRPr="00834822">
        <w:t>года – 14482</w:t>
      </w:r>
      <w:r w:rsidRPr="00ED0890">
        <w:t xml:space="preserve"> тыс. рублей, в т. ч. средства районного бюджета 1767 тыс. рублей и областного – 12715тыс. рублей, </w:t>
      </w:r>
      <w:r w:rsidRPr="00834822">
        <w:t>на</w:t>
      </w:r>
      <w:r w:rsidRPr="00834822">
        <w:rPr>
          <w:b/>
        </w:rPr>
        <w:t xml:space="preserve"> </w:t>
      </w:r>
      <w:r w:rsidRPr="00834822">
        <w:t>2 полугодие 2012</w:t>
      </w:r>
      <w:r w:rsidR="00ED0890" w:rsidRPr="00834822">
        <w:t xml:space="preserve"> </w:t>
      </w:r>
      <w:r w:rsidRPr="00834822">
        <w:t>года – 24421</w:t>
      </w:r>
      <w:r w:rsidR="00ED0890" w:rsidRPr="00ED0890">
        <w:t xml:space="preserve"> </w:t>
      </w:r>
      <w:r w:rsidRPr="00ED0890">
        <w:t xml:space="preserve">тыс. рублей (весь объем областные средства), </w:t>
      </w:r>
      <w:r w:rsidRPr="00834822">
        <w:t>2013, 2014 и 2015</w:t>
      </w:r>
      <w:r w:rsidR="00834822" w:rsidRPr="00834822">
        <w:t xml:space="preserve"> </w:t>
      </w:r>
      <w:r w:rsidRPr="00834822">
        <w:t>год</w:t>
      </w:r>
      <w:r w:rsidRPr="00ED0890">
        <w:t xml:space="preserve"> – </w:t>
      </w:r>
      <w:r w:rsidRPr="00834822">
        <w:t>по</w:t>
      </w:r>
      <w:r w:rsidRPr="00834822">
        <w:rPr>
          <w:b/>
        </w:rPr>
        <w:t xml:space="preserve"> </w:t>
      </w:r>
      <w:r w:rsidRPr="00834822">
        <w:lastRenderedPageBreak/>
        <w:t>38903</w:t>
      </w:r>
      <w:r w:rsidRPr="00ED0890">
        <w:t xml:space="preserve"> тыс. рублей </w:t>
      </w:r>
      <w:r w:rsidRPr="00834822">
        <w:t>ежегодно</w:t>
      </w:r>
      <w:r w:rsidRPr="00ED0890">
        <w:t>, в т. ч. областные средства – по 37136 тыс. рублей ежегодно, районные – по 1767 тыс. рублей ежегодно.</w:t>
      </w:r>
      <w:r w:rsidR="00442C01">
        <w:t xml:space="preserve"> </w:t>
      </w:r>
      <w:r w:rsidRPr="00442C01">
        <w:t>Ниже в таблице</w:t>
      </w:r>
      <w:r w:rsidR="000F163D">
        <w:t xml:space="preserve"> 1</w:t>
      </w:r>
      <w:r w:rsidRPr="00442C01">
        <w:t xml:space="preserve"> представлены предлагаемые паспортом Программы объемы финансирования в редакции от 18.10.2012г. (когда были определены объемы финансирования) и в окончательной редакции от 02.12.2014г.</w:t>
      </w:r>
      <w:r w:rsidR="00442C01">
        <w:tab/>
      </w:r>
    </w:p>
    <w:p w:rsidR="00F704FE" w:rsidRPr="00442C01" w:rsidRDefault="00F704FE" w:rsidP="00834822">
      <w:pPr>
        <w:ind w:right="-1" w:firstLine="540"/>
        <w:jc w:val="both"/>
      </w:pPr>
      <w:r w:rsidRPr="00442C01">
        <w:tab/>
      </w:r>
      <w:r w:rsidRPr="00442C01">
        <w:tab/>
      </w:r>
      <w:r w:rsidRPr="00442C01">
        <w:tab/>
      </w:r>
      <w:r w:rsidRPr="00442C01">
        <w:tab/>
      </w:r>
      <w:r w:rsidRPr="00442C01">
        <w:tab/>
      </w:r>
      <w:r w:rsidR="000F163D">
        <w:tab/>
      </w:r>
      <w:r w:rsidR="000F163D">
        <w:tab/>
      </w:r>
      <w:r w:rsidR="000F163D">
        <w:tab/>
        <w:t xml:space="preserve">                   Таблица 1, </w:t>
      </w:r>
      <w:r w:rsidR="00834822">
        <w:t>тыс. рублей</w:t>
      </w:r>
      <w:r w:rsidR="00442C01">
        <w:t xml:space="preserve">     </w:t>
      </w:r>
      <w:r w:rsidR="00834822">
        <w:t xml:space="preserve">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851"/>
        <w:gridCol w:w="850"/>
        <w:gridCol w:w="851"/>
        <w:gridCol w:w="850"/>
        <w:gridCol w:w="851"/>
        <w:gridCol w:w="709"/>
        <w:gridCol w:w="708"/>
        <w:gridCol w:w="851"/>
        <w:gridCol w:w="785"/>
      </w:tblGrid>
      <w:tr w:rsidR="00F704FE" w:rsidRPr="00F704FE" w:rsidTr="00B00555">
        <w:tc>
          <w:tcPr>
            <w:tcW w:w="1526" w:type="dxa"/>
            <w:vMerge w:val="restart"/>
            <w:shd w:val="clear" w:color="auto" w:fill="auto"/>
          </w:tcPr>
          <w:p w:rsidR="00F704FE" w:rsidRPr="00F704FE" w:rsidRDefault="00F704FE" w:rsidP="00425C68">
            <w:pPr>
              <w:ind w:right="-108"/>
              <w:jc w:val="center"/>
              <w:rPr>
                <w:sz w:val="22"/>
                <w:szCs w:val="22"/>
                <w:highlight w:val="yellow"/>
              </w:rPr>
            </w:pPr>
            <w:r w:rsidRPr="00442C01">
              <w:rPr>
                <w:sz w:val="22"/>
                <w:szCs w:val="22"/>
              </w:rPr>
              <w:t>источник финан</w:t>
            </w:r>
            <w:r w:rsidR="00442C01" w:rsidRPr="00442C01">
              <w:rPr>
                <w:sz w:val="22"/>
                <w:szCs w:val="22"/>
              </w:rPr>
              <w:t>сирова</w:t>
            </w:r>
            <w:r w:rsidR="00425C68">
              <w:rPr>
                <w:sz w:val="22"/>
                <w:szCs w:val="22"/>
              </w:rPr>
              <w:t>-</w:t>
            </w:r>
            <w:r w:rsidR="00442C01" w:rsidRPr="00442C01">
              <w:rPr>
                <w:sz w:val="22"/>
                <w:szCs w:val="22"/>
              </w:rPr>
              <w:t>ния</w:t>
            </w:r>
          </w:p>
        </w:tc>
        <w:tc>
          <w:tcPr>
            <w:tcW w:w="8156" w:type="dxa"/>
            <w:gridSpan w:val="10"/>
            <w:shd w:val="clear" w:color="auto" w:fill="auto"/>
          </w:tcPr>
          <w:p w:rsidR="00F704FE" w:rsidRPr="00442C01" w:rsidRDefault="00F704FE" w:rsidP="000126BB">
            <w:pPr>
              <w:ind w:right="-1"/>
              <w:jc w:val="center"/>
              <w:rPr>
                <w:sz w:val="22"/>
                <w:szCs w:val="22"/>
              </w:rPr>
            </w:pPr>
            <w:r w:rsidRPr="00442C01">
              <w:rPr>
                <w:sz w:val="22"/>
                <w:szCs w:val="22"/>
              </w:rPr>
              <w:t>ресурсное обеспечение Программы по годам</w:t>
            </w:r>
          </w:p>
        </w:tc>
      </w:tr>
      <w:tr w:rsidR="00F704FE" w:rsidRPr="00F704FE" w:rsidTr="00B00555">
        <w:tc>
          <w:tcPr>
            <w:tcW w:w="1526" w:type="dxa"/>
            <w:vMerge/>
            <w:shd w:val="clear" w:color="auto" w:fill="auto"/>
          </w:tcPr>
          <w:p w:rsidR="00F704FE" w:rsidRPr="00F704FE" w:rsidRDefault="00F704FE" w:rsidP="000126BB">
            <w:pPr>
              <w:ind w:right="-1"/>
              <w:jc w:val="both"/>
              <w:rPr>
                <w:sz w:val="22"/>
                <w:szCs w:val="22"/>
                <w:highlight w:val="yellow"/>
              </w:rPr>
            </w:pPr>
          </w:p>
        </w:tc>
        <w:tc>
          <w:tcPr>
            <w:tcW w:w="4252" w:type="dxa"/>
            <w:gridSpan w:val="5"/>
            <w:shd w:val="clear" w:color="auto" w:fill="auto"/>
          </w:tcPr>
          <w:p w:rsidR="00F704FE" w:rsidRPr="00442C01" w:rsidRDefault="00F704FE" w:rsidP="00442C01">
            <w:pPr>
              <w:ind w:right="-1"/>
              <w:jc w:val="center"/>
              <w:rPr>
                <w:sz w:val="22"/>
                <w:szCs w:val="22"/>
              </w:rPr>
            </w:pPr>
            <w:r w:rsidRPr="00442C01">
              <w:rPr>
                <w:sz w:val="22"/>
                <w:szCs w:val="22"/>
              </w:rPr>
              <w:t>редакция от 18.10.12г.</w:t>
            </w:r>
          </w:p>
        </w:tc>
        <w:tc>
          <w:tcPr>
            <w:tcW w:w="3904" w:type="dxa"/>
            <w:gridSpan w:val="5"/>
            <w:shd w:val="clear" w:color="auto" w:fill="auto"/>
          </w:tcPr>
          <w:p w:rsidR="00F704FE" w:rsidRPr="00442C01" w:rsidRDefault="00F704FE" w:rsidP="00442C01">
            <w:pPr>
              <w:ind w:right="-1"/>
              <w:jc w:val="center"/>
              <w:rPr>
                <w:sz w:val="22"/>
                <w:szCs w:val="22"/>
              </w:rPr>
            </w:pPr>
            <w:r w:rsidRPr="00442C01">
              <w:rPr>
                <w:sz w:val="22"/>
                <w:szCs w:val="22"/>
              </w:rPr>
              <w:t>окончательная редакция от 02.12.14г.</w:t>
            </w:r>
          </w:p>
        </w:tc>
      </w:tr>
      <w:tr w:rsidR="00B00555" w:rsidRPr="00F704FE" w:rsidTr="00B00555">
        <w:tc>
          <w:tcPr>
            <w:tcW w:w="1526" w:type="dxa"/>
            <w:vMerge/>
            <w:shd w:val="clear" w:color="auto" w:fill="auto"/>
          </w:tcPr>
          <w:p w:rsidR="00F704FE" w:rsidRPr="00F704FE" w:rsidRDefault="00F704FE" w:rsidP="000126BB">
            <w:pPr>
              <w:ind w:right="-1"/>
              <w:jc w:val="both"/>
              <w:rPr>
                <w:sz w:val="22"/>
                <w:szCs w:val="22"/>
                <w:highlight w:val="yellow"/>
              </w:rPr>
            </w:pPr>
          </w:p>
        </w:tc>
        <w:tc>
          <w:tcPr>
            <w:tcW w:w="850" w:type="dxa"/>
            <w:shd w:val="clear" w:color="auto" w:fill="auto"/>
          </w:tcPr>
          <w:p w:rsidR="00F704FE" w:rsidRPr="00442C01" w:rsidRDefault="00F704FE" w:rsidP="00442C01">
            <w:pPr>
              <w:ind w:left="-43" w:right="-69"/>
              <w:jc w:val="center"/>
              <w:rPr>
                <w:sz w:val="22"/>
                <w:szCs w:val="22"/>
              </w:rPr>
            </w:pPr>
            <w:r w:rsidRPr="00442C01">
              <w:rPr>
                <w:sz w:val="22"/>
                <w:szCs w:val="22"/>
              </w:rPr>
              <w:t>2012</w:t>
            </w:r>
          </w:p>
        </w:tc>
        <w:tc>
          <w:tcPr>
            <w:tcW w:w="851" w:type="dxa"/>
            <w:shd w:val="clear" w:color="auto" w:fill="auto"/>
          </w:tcPr>
          <w:p w:rsidR="00F704FE" w:rsidRPr="00442C01" w:rsidRDefault="00F704FE" w:rsidP="00442C01">
            <w:pPr>
              <w:ind w:left="-147" w:right="-106"/>
              <w:jc w:val="center"/>
              <w:rPr>
                <w:sz w:val="22"/>
                <w:szCs w:val="22"/>
              </w:rPr>
            </w:pPr>
            <w:r w:rsidRPr="00442C01">
              <w:rPr>
                <w:sz w:val="22"/>
                <w:szCs w:val="22"/>
              </w:rPr>
              <w:t>2013</w:t>
            </w:r>
          </w:p>
        </w:tc>
        <w:tc>
          <w:tcPr>
            <w:tcW w:w="850" w:type="dxa"/>
            <w:shd w:val="clear" w:color="auto" w:fill="auto"/>
          </w:tcPr>
          <w:p w:rsidR="00F704FE" w:rsidRPr="00442C01" w:rsidRDefault="00F704FE" w:rsidP="00442C01">
            <w:pPr>
              <w:ind w:left="-110" w:right="-144"/>
              <w:jc w:val="center"/>
              <w:rPr>
                <w:sz w:val="22"/>
                <w:szCs w:val="22"/>
              </w:rPr>
            </w:pPr>
            <w:r w:rsidRPr="00442C01">
              <w:rPr>
                <w:sz w:val="22"/>
                <w:szCs w:val="22"/>
              </w:rPr>
              <w:t>2014</w:t>
            </w:r>
          </w:p>
        </w:tc>
        <w:tc>
          <w:tcPr>
            <w:tcW w:w="851" w:type="dxa"/>
            <w:shd w:val="clear" w:color="auto" w:fill="auto"/>
          </w:tcPr>
          <w:p w:rsidR="00F704FE" w:rsidRPr="00442C01" w:rsidRDefault="00F704FE" w:rsidP="00442C01">
            <w:pPr>
              <w:ind w:left="-72" w:right="-41"/>
              <w:jc w:val="center"/>
              <w:rPr>
                <w:sz w:val="22"/>
                <w:szCs w:val="22"/>
              </w:rPr>
            </w:pPr>
            <w:r w:rsidRPr="00442C01">
              <w:rPr>
                <w:sz w:val="22"/>
                <w:szCs w:val="22"/>
              </w:rPr>
              <w:t>2015</w:t>
            </w:r>
          </w:p>
        </w:tc>
        <w:tc>
          <w:tcPr>
            <w:tcW w:w="850" w:type="dxa"/>
            <w:shd w:val="clear" w:color="auto" w:fill="auto"/>
          </w:tcPr>
          <w:p w:rsidR="00F704FE" w:rsidRPr="00442C01" w:rsidRDefault="00F704FE" w:rsidP="00442C01">
            <w:pPr>
              <w:ind w:left="-34" w:right="-101"/>
              <w:jc w:val="center"/>
              <w:rPr>
                <w:sz w:val="22"/>
                <w:szCs w:val="22"/>
              </w:rPr>
            </w:pPr>
            <w:r w:rsidRPr="00442C01">
              <w:rPr>
                <w:sz w:val="22"/>
                <w:szCs w:val="22"/>
              </w:rPr>
              <w:t>Итого</w:t>
            </w:r>
          </w:p>
        </w:tc>
        <w:tc>
          <w:tcPr>
            <w:tcW w:w="851" w:type="dxa"/>
            <w:shd w:val="clear" w:color="auto" w:fill="auto"/>
          </w:tcPr>
          <w:p w:rsidR="00F704FE" w:rsidRPr="00442C01" w:rsidRDefault="00F704FE" w:rsidP="00442C01">
            <w:pPr>
              <w:ind w:left="-115" w:right="-139"/>
              <w:jc w:val="center"/>
              <w:rPr>
                <w:sz w:val="22"/>
                <w:szCs w:val="22"/>
              </w:rPr>
            </w:pPr>
            <w:r w:rsidRPr="00442C01">
              <w:rPr>
                <w:sz w:val="22"/>
                <w:szCs w:val="22"/>
              </w:rPr>
              <w:t>2012</w:t>
            </w:r>
          </w:p>
        </w:tc>
        <w:tc>
          <w:tcPr>
            <w:tcW w:w="709" w:type="dxa"/>
            <w:shd w:val="clear" w:color="auto" w:fill="auto"/>
          </w:tcPr>
          <w:p w:rsidR="00F704FE" w:rsidRPr="00442C01" w:rsidRDefault="00F704FE" w:rsidP="00442C01">
            <w:pPr>
              <w:ind w:left="-77" w:right="-178"/>
              <w:jc w:val="center"/>
              <w:rPr>
                <w:sz w:val="22"/>
                <w:szCs w:val="22"/>
              </w:rPr>
            </w:pPr>
            <w:r w:rsidRPr="00442C01">
              <w:rPr>
                <w:sz w:val="22"/>
                <w:szCs w:val="22"/>
              </w:rPr>
              <w:t>2013</w:t>
            </w:r>
          </w:p>
        </w:tc>
        <w:tc>
          <w:tcPr>
            <w:tcW w:w="708" w:type="dxa"/>
            <w:shd w:val="clear" w:color="auto" w:fill="auto"/>
          </w:tcPr>
          <w:p w:rsidR="00F704FE" w:rsidRPr="00442C01" w:rsidRDefault="00F704FE" w:rsidP="00442C01">
            <w:pPr>
              <w:ind w:left="-38" w:right="-108"/>
              <w:jc w:val="center"/>
              <w:rPr>
                <w:sz w:val="22"/>
                <w:szCs w:val="22"/>
              </w:rPr>
            </w:pPr>
            <w:r w:rsidRPr="00442C01">
              <w:rPr>
                <w:sz w:val="22"/>
                <w:szCs w:val="22"/>
              </w:rPr>
              <w:t>2014</w:t>
            </w:r>
          </w:p>
        </w:tc>
        <w:tc>
          <w:tcPr>
            <w:tcW w:w="851" w:type="dxa"/>
            <w:shd w:val="clear" w:color="auto" w:fill="auto"/>
          </w:tcPr>
          <w:p w:rsidR="00F704FE" w:rsidRPr="00442C01" w:rsidRDefault="00F704FE" w:rsidP="00442C01">
            <w:pPr>
              <w:ind w:left="-108" w:right="-113"/>
              <w:jc w:val="center"/>
              <w:rPr>
                <w:sz w:val="22"/>
                <w:szCs w:val="22"/>
              </w:rPr>
            </w:pPr>
            <w:r w:rsidRPr="00442C01">
              <w:rPr>
                <w:sz w:val="22"/>
                <w:szCs w:val="22"/>
              </w:rPr>
              <w:t>2015</w:t>
            </w:r>
          </w:p>
        </w:tc>
        <w:tc>
          <w:tcPr>
            <w:tcW w:w="785" w:type="dxa"/>
            <w:shd w:val="clear" w:color="auto" w:fill="auto"/>
          </w:tcPr>
          <w:p w:rsidR="00F704FE" w:rsidRPr="00442C01" w:rsidRDefault="00F704FE" w:rsidP="00442C01">
            <w:pPr>
              <w:ind w:left="-103" w:right="-32"/>
              <w:jc w:val="center"/>
              <w:rPr>
                <w:sz w:val="22"/>
                <w:szCs w:val="22"/>
              </w:rPr>
            </w:pPr>
            <w:r w:rsidRPr="00442C01">
              <w:rPr>
                <w:sz w:val="22"/>
                <w:szCs w:val="22"/>
              </w:rPr>
              <w:t>Итого</w:t>
            </w:r>
          </w:p>
        </w:tc>
      </w:tr>
      <w:tr w:rsidR="00B00555" w:rsidRPr="00F704FE" w:rsidTr="00B00555">
        <w:tc>
          <w:tcPr>
            <w:tcW w:w="1526" w:type="dxa"/>
            <w:shd w:val="clear" w:color="auto" w:fill="auto"/>
          </w:tcPr>
          <w:p w:rsidR="00F704FE" w:rsidRPr="00B00555" w:rsidRDefault="00442C01" w:rsidP="00442C01">
            <w:pPr>
              <w:ind w:right="-173"/>
              <w:jc w:val="both"/>
              <w:rPr>
                <w:b/>
                <w:sz w:val="22"/>
                <w:szCs w:val="22"/>
              </w:rPr>
            </w:pPr>
            <w:r w:rsidRPr="00B00555">
              <w:rPr>
                <w:b/>
                <w:sz w:val="22"/>
                <w:szCs w:val="22"/>
              </w:rPr>
              <w:t>Всего</w:t>
            </w:r>
            <w:r w:rsidR="00F704FE" w:rsidRPr="00B00555">
              <w:rPr>
                <w:b/>
                <w:sz w:val="22"/>
                <w:szCs w:val="22"/>
              </w:rPr>
              <w:t>,</w:t>
            </w:r>
            <w:r w:rsidRPr="00B00555">
              <w:rPr>
                <w:b/>
                <w:sz w:val="22"/>
                <w:szCs w:val="22"/>
              </w:rPr>
              <w:t xml:space="preserve"> </w:t>
            </w:r>
            <w:r w:rsidR="00F704FE" w:rsidRPr="00B00555">
              <w:rPr>
                <w:sz w:val="22"/>
                <w:szCs w:val="22"/>
              </w:rPr>
              <w:t>в т.ч.:</w:t>
            </w:r>
          </w:p>
        </w:tc>
        <w:tc>
          <w:tcPr>
            <w:tcW w:w="850" w:type="dxa"/>
            <w:shd w:val="clear" w:color="auto" w:fill="auto"/>
          </w:tcPr>
          <w:p w:rsidR="00F704FE" w:rsidRPr="00442C01" w:rsidRDefault="00F704FE" w:rsidP="00442C01">
            <w:pPr>
              <w:ind w:left="-43" w:right="-69"/>
              <w:jc w:val="center"/>
              <w:rPr>
                <w:b/>
                <w:sz w:val="22"/>
                <w:szCs w:val="22"/>
              </w:rPr>
            </w:pPr>
            <w:r w:rsidRPr="00442C01">
              <w:rPr>
                <w:b/>
                <w:sz w:val="22"/>
                <w:szCs w:val="22"/>
              </w:rPr>
              <w:t>38903</w:t>
            </w:r>
          </w:p>
        </w:tc>
        <w:tc>
          <w:tcPr>
            <w:tcW w:w="851" w:type="dxa"/>
            <w:shd w:val="clear" w:color="auto" w:fill="auto"/>
          </w:tcPr>
          <w:p w:rsidR="00F704FE" w:rsidRPr="00442C01" w:rsidRDefault="00F704FE" w:rsidP="00442C01">
            <w:pPr>
              <w:ind w:left="-147" w:right="-106"/>
              <w:jc w:val="center"/>
              <w:rPr>
                <w:b/>
                <w:sz w:val="22"/>
                <w:szCs w:val="22"/>
              </w:rPr>
            </w:pPr>
            <w:r w:rsidRPr="00442C01">
              <w:rPr>
                <w:b/>
                <w:sz w:val="22"/>
                <w:szCs w:val="22"/>
              </w:rPr>
              <w:t>38903</w:t>
            </w:r>
          </w:p>
        </w:tc>
        <w:tc>
          <w:tcPr>
            <w:tcW w:w="850" w:type="dxa"/>
            <w:shd w:val="clear" w:color="auto" w:fill="auto"/>
          </w:tcPr>
          <w:p w:rsidR="00F704FE" w:rsidRPr="00442C01" w:rsidRDefault="00F704FE" w:rsidP="00442C01">
            <w:pPr>
              <w:ind w:left="-110" w:right="-144"/>
              <w:jc w:val="center"/>
              <w:rPr>
                <w:b/>
                <w:sz w:val="22"/>
                <w:szCs w:val="22"/>
              </w:rPr>
            </w:pPr>
            <w:r w:rsidRPr="00442C01">
              <w:rPr>
                <w:b/>
                <w:sz w:val="22"/>
                <w:szCs w:val="22"/>
              </w:rPr>
              <w:t>38903</w:t>
            </w:r>
          </w:p>
        </w:tc>
        <w:tc>
          <w:tcPr>
            <w:tcW w:w="851" w:type="dxa"/>
            <w:shd w:val="clear" w:color="auto" w:fill="auto"/>
          </w:tcPr>
          <w:p w:rsidR="00F704FE" w:rsidRPr="00442C01" w:rsidRDefault="00F704FE" w:rsidP="00442C01">
            <w:pPr>
              <w:ind w:left="-72" w:right="-41"/>
              <w:jc w:val="center"/>
              <w:rPr>
                <w:b/>
                <w:sz w:val="22"/>
                <w:szCs w:val="22"/>
              </w:rPr>
            </w:pPr>
            <w:r w:rsidRPr="00442C01">
              <w:rPr>
                <w:b/>
                <w:sz w:val="22"/>
                <w:szCs w:val="22"/>
              </w:rPr>
              <w:t>38903</w:t>
            </w:r>
          </w:p>
        </w:tc>
        <w:tc>
          <w:tcPr>
            <w:tcW w:w="850" w:type="dxa"/>
            <w:shd w:val="clear" w:color="auto" w:fill="auto"/>
          </w:tcPr>
          <w:p w:rsidR="00F704FE" w:rsidRPr="00442C01" w:rsidRDefault="00F704FE" w:rsidP="00442C01">
            <w:pPr>
              <w:ind w:left="-34" w:right="-101"/>
              <w:jc w:val="center"/>
              <w:rPr>
                <w:b/>
                <w:sz w:val="22"/>
                <w:szCs w:val="22"/>
              </w:rPr>
            </w:pPr>
            <w:r w:rsidRPr="00442C01">
              <w:rPr>
                <w:b/>
                <w:sz w:val="22"/>
                <w:szCs w:val="22"/>
              </w:rPr>
              <w:t>155612</w:t>
            </w:r>
          </w:p>
        </w:tc>
        <w:tc>
          <w:tcPr>
            <w:tcW w:w="851" w:type="dxa"/>
            <w:shd w:val="clear" w:color="auto" w:fill="auto"/>
          </w:tcPr>
          <w:p w:rsidR="00F704FE" w:rsidRPr="00442C01" w:rsidRDefault="00F704FE" w:rsidP="00442C01">
            <w:pPr>
              <w:ind w:left="-115" w:right="-139"/>
              <w:jc w:val="center"/>
              <w:rPr>
                <w:b/>
                <w:sz w:val="22"/>
                <w:szCs w:val="22"/>
              </w:rPr>
            </w:pPr>
            <w:r w:rsidRPr="00442C01">
              <w:rPr>
                <w:b/>
                <w:sz w:val="22"/>
                <w:szCs w:val="22"/>
              </w:rPr>
              <w:t>38903</w:t>
            </w:r>
          </w:p>
        </w:tc>
        <w:tc>
          <w:tcPr>
            <w:tcW w:w="709" w:type="dxa"/>
            <w:shd w:val="clear" w:color="auto" w:fill="auto"/>
          </w:tcPr>
          <w:p w:rsidR="00F704FE" w:rsidRPr="00442C01" w:rsidRDefault="00F704FE" w:rsidP="00442C01">
            <w:pPr>
              <w:ind w:left="-77" w:right="-178"/>
              <w:jc w:val="center"/>
              <w:rPr>
                <w:b/>
                <w:sz w:val="22"/>
                <w:szCs w:val="22"/>
              </w:rPr>
            </w:pPr>
            <w:r w:rsidRPr="00442C01">
              <w:rPr>
                <w:b/>
                <w:sz w:val="22"/>
                <w:szCs w:val="22"/>
              </w:rPr>
              <w:t>26488</w:t>
            </w:r>
          </w:p>
        </w:tc>
        <w:tc>
          <w:tcPr>
            <w:tcW w:w="708" w:type="dxa"/>
            <w:shd w:val="clear" w:color="auto" w:fill="auto"/>
          </w:tcPr>
          <w:p w:rsidR="00F704FE" w:rsidRPr="00442C01" w:rsidRDefault="00F704FE" w:rsidP="00442C01">
            <w:pPr>
              <w:ind w:left="-38" w:right="-108"/>
              <w:jc w:val="center"/>
              <w:rPr>
                <w:b/>
                <w:sz w:val="22"/>
                <w:szCs w:val="22"/>
              </w:rPr>
            </w:pPr>
            <w:r w:rsidRPr="00442C01">
              <w:rPr>
                <w:b/>
                <w:sz w:val="22"/>
                <w:szCs w:val="22"/>
              </w:rPr>
              <w:t>23478</w:t>
            </w:r>
          </w:p>
        </w:tc>
        <w:tc>
          <w:tcPr>
            <w:tcW w:w="851" w:type="dxa"/>
            <w:shd w:val="clear" w:color="auto" w:fill="auto"/>
          </w:tcPr>
          <w:p w:rsidR="00F704FE" w:rsidRPr="00442C01" w:rsidRDefault="00F704FE" w:rsidP="00442C01">
            <w:pPr>
              <w:ind w:left="-108" w:right="-113"/>
              <w:jc w:val="center"/>
              <w:rPr>
                <w:b/>
                <w:sz w:val="22"/>
                <w:szCs w:val="22"/>
              </w:rPr>
            </w:pPr>
            <w:r w:rsidRPr="00442C01">
              <w:rPr>
                <w:b/>
                <w:sz w:val="22"/>
                <w:szCs w:val="22"/>
              </w:rPr>
              <w:t>28767</w:t>
            </w:r>
          </w:p>
        </w:tc>
        <w:tc>
          <w:tcPr>
            <w:tcW w:w="785" w:type="dxa"/>
            <w:shd w:val="clear" w:color="auto" w:fill="auto"/>
          </w:tcPr>
          <w:p w:rsidR="00F704FE" w:rsidRPr="00442C01" w:rsidRDefault="00F704FE" w:rsidP="00442C01">
            <w:pPr>
              <w:ind w:left="-103" w:right="-32"/>
              <w:jc w:val="center"/>
              <w:rPr>
                <w:b/>
                <w:sz w:val="22"/>
                <w:szCs w:val="22"/>
              </w:rPr>
            </w:pPr>
            <w:r w:rsidRPr="00442C01">
              <w:rPr>
                <w:b/>
                <w:sz w:val="22"/>
                <w:szCs w:val="22"/>
              </w:rPr>
              <w:t>117636</w:t>
            </w:r>
          </w:p>
        </w:tc>
      </w:tr>
      <w:tr w:rsidR="00B00555" w:rsidRPr="00F704FE" w:rsidTr="00B00555">
        <w:tc>
          <w:tcPr>
            <w:tcW w:w="1526" w:type="dxa"/>
            <w:shd w:val="clear" w:color="auto" w:fill="auto"/>
          </w:tcPr>
          <w:p w:rsidR="00F704FE" w:rsidRPr="00B00555" w:rsidRDefault="00F704FE" w:rsidP="00425C68">
            <w:pPr>
              <w:ind w:right="-108"/>
              <w:jc w:val="center"/>
              <w:rPr>
                <w:sz w:val="22"/>
                <w:szCs w:val="22"/>
              </w:rPr>
            </w:pPr>
            <w:r w:rsidRPr="00B00555">
              <w:rPr>
                <w:sz w:val="22"/>
                <w:szCs w:val="22"/>
              </w:rPr>
              <w:t>районный бюджет</w:t>
            </w:r>
          </w:p>
        </w:tc>
        <w:tc>
          <w:tcPr>
            <w:tcW w:w="850" w:type="dxa"/>
            <w:shd w:val="clear" w:color="auto" w:fill="auto"/>
          </w:tcPr>
          <w:p w:rsidR="00F704FE" w:rsidRPr="00442C01" w:rsidRDefault="00F704FE" w:rsidP="00442C01">
            <w:pPr>
              <w:ind w:left="-43" w:right="-69"/>
              <w:jc w:val="center"/>
              <w:rPr>
                <w:sz w:val="22"/>
                <w:szCs w:val="22"/>
              </w:rPr>
            </w:pPr>
            <w:r w:rsidRPr="00442C01">
              <w:rPr>
                <w:sz w:val="22"/>
                <w:szCs w:val="22"/>
              </w:rPr>
              <w:t>1767</w:t>
            </w:r>
          </w:p>
        </w:tc>
        <w:tc>
          <w:tcPr>
            <w:tcW w:w="851" w:type="dxa"/>
            <w:shd w:val="clear" w:color="auto" w:fill="auto"/>
          </w:tcPr>
          <w:p w:rsidR="00F704FE" w:rsidRPr="00442C01" w:rsidRDefault="00F704FE" w:rsidP="00442C01">
            <w:pPr>
              <w:ind w:left="-147" w:right="-106"/>
              <w:jc w:val="center"/>
              <w:rPr>
                <w:sz w:val="22"/>
                <w:szCs w:val="22"/>
              </w:rPr>
            </w:pPr>
            <w:r w:rsidRPr="00442C01">
              <w:rPr>
                <w:sz w:val="22"/>
                <w:szCs w:val="22"/>
              </w:rPr>
              <w:t>1767</w:t>
            </w:r>
          </w:p>
        </w:tc>
        <w:tc>
          <w:tcPr>
            <w:tcW w:w="850" w:type="dxa"/>
            <w:shd w:val="clear" w:color="auto" w:fill="auto"/>
          </w:tcPr>
          <w:p w:rsidR="00F704FE" w:rsidRPr="00442C01" w:rsidRDefault="00F704FE" w:rsidP="00442C01">
            <w:pPr>
              <w:ind w:left="-110" w:right="-144"/>
              <w:jc w:val="center"/>
              <w:rPr>
                <w:sz w:val="22"/>
                <w:szCs w:val="22"/>
              </w:rPr>
            </w:pPr>
            <w:r w:rsidRPr="00442C01">
              <w:rPr>
                <w:sz w:val="22"/>
                <w:szCs w:val="22"/>
              </w:rPr>
              <w:t>1767</w:t>
            </w:r>
          </w:p>
        </w:tc>
        <w:tc>
          <w:tcPr>
            <w:tcW w:w="851" w:type="dxa"/>
            <w:shd w:val="clear" w:color="auto" w:fill="auto"/>
          </w:tcPr>
          <w:p w:rsidR="00F704FE" w:rsidRPr="00442C01" w:rsidRDefault="00F704FE" w:rsidP="00442C01">
            <w:pPr>
              <w:ind w:left="-72" w:right="-41"/>
              <w:jc w:val="center"/>
              <w:rPr>
                <w:sz w:val="22"/>
                <w:szCs w:val="22"/>
              </w:rPr>
            </w:pPr>
            <w:r w:rsidRPr="00442C01">
              <w:rPr>
                <w:sz w:val="22"/>
                <w:szCs w:val="22"/>
              </w:rPr>
              <w:t>1767</w:t>
            </w:r>
          </w:p>
        </w:tc>
        <w:tc>
          <w:tcPr>
            <w:tcW w:w="850" w:type="dxa"/>
            <w:shd w:val="clear" w:color="auto" w:fill="auto"/>
          </w:tcPr>
          <w:p w:rsidR="00F704FE" w:rsidRPr="00442C01" w:rsidRDefault="00F704FE" w:rsidP="00442C01">
            <w:pPr>
              <w:ind w:left="-34" w:right="-101"/>
              <w:jc w:val="center"/>
              <w:rPr>
                <w:sz w:val="22"/>
                <w:szCs w:val="22"/>
              </w:rPr>
            </w:pPr>
            <w:r w:rsidRPr="00442C01">
              <w:rPr>
                <w:sz w:val="22"/>
                <w:szCs w:val="22"/>
              </w:rPr>
              <w:t>7068</w:t>
            </w:r>
          </w:p>
        </w:tc>
        <w:tc>
          <w:tcPr>
            <w:tcW w:w="851" w:type="dxa"/>
            <w:shd w:val="clear" w:color="auto" w:fill="auto"/>
          </w:tcPr>
          <w:p w:rsidR="00F704FE" w:rsidRPr="00442C01" w:rsidRDefault="00F704FE" w:rsidP="00442C01">
            <w:pPr>
              <w:ind w:left="-115" w:right="-139"/>
              <w:jc w:val="center"/>
              <w:rPr>
                <w:sz w:val="22"/>
                <w:szCs w:val="22"/>
              </w:rPr>
            </w:pPr>
            <w:r w:rsidRPr="00442C01">
              <w:rPr>
                <w:sz w:val="22"/>
                <w:szCs w:val="22"/>
              </w:rPr>
              <w:t>1767</w:t>
            </w:r>
          </w:p>
        </w:tc>
        <w:tc>
          <w:tcPr>
            <w:tcW w:w="709" w:type="dxa"/>
            <w:shd w:val="clear" w:color="auto" w:fill="auto"/>
          </w:tcPr>
          <w:p w:rsidR="00F704FE" w:rsidRPr="00442C01" w:rsidRDefault="00F704FE" w:rsidP="00442C01">
            <w:pPr>
              <w:ind w:left="-77" w:right="-178"/>
              <w:jc w:val="center"/>
              <w:rPr>
                <w:sz w:val="22"/>
                <w:szCs w:val="22"/>
              </w:rPr>
            </w:pPr>
            <w:r w:rsidRPr="00442C01">
              <w:rPr>
                <w:sz w:val="22"/>
                <w:szCs w:val="22"/>
              </w:rPr>
              <w:t>1767</w:t>
            </w:r>
          </w:p>
        </w:tc>
        <w:tc>
          <w:tcPr>
            <w:tcW w:w="708" w:type="dxa"/>
            <w:shd w:val="clear" w:color="auto" w:fill="auto"/>
          </w:tcPr>
          <w:p w:rsidR="00F704FE" w:rsidRPr="00442C01" w:rsidRDefault="00F704FE" w:rsidP="00442C01">
            <w:pPr>
              <w:ind w:left="-38" w:right="-108"/>
              <w:jc w:val="center"/>
              <w:rPr>
                <w:sz w:val="22"/>
                <w:szCs w:val="22"/>
              </w:rPr>
            </w:pPr>
            <w:r w:rsidRPr="00442C01">
              <w:rPr>
                <w:sz w:val="22"/>
                <w:szCs w:val="22"/>
              </w:rPr>
              <w:t>1767</w:t>
            </w:r>
          </w:p>
        </w:tc>
        <w:tc>
          <w:tcPr>
            <w:tcW w:w="851" w:type="dxa"/>
            <w:shd w:val="clear" w:color="auto" w:fill="auto"/>
          </w:tcPr>
          <w:p w:rsidR="00F704FE" w:rsidRPr="00442C01" w:rsidRDefault="00F704FE" w:rsidP="00442C01">
            <w:pPr>
              <w:ind w:left="-108" w:right="-113"/>
              <w:jc w:val="center"/>
              <w:rPr>
                <w:sz w:val="22"/>
                <w:szCs w:val="22"/>
              </w:rPr>
            </w:pPr>
            <w:r w:rsidRPr="00442C01">
              <w:rPr>
                <w:sz w:val="22"/>
                <w:szCs w:val="22"/>
              </w:rPr>
              <w:t>1767</w:t>
            </w:r>
          </w:p>
        </w:tc>
        <w:tc>
          <w:tcPr>
            <w:tcW w:w="785" w:type="dxa"/>
            <w:shd w:val="clear" w:color="auto" w:fill="auto"/>
          </w:tcPr>
          <w:p w:rsidR="00F704FE" w:rsidRPr="00442C01" w:rsidRDefault="00F704FE" w:rsidP="00442C01">
            <w:pPr>
              <w:ind w:left="-103" w:right="-32"/>
              <w:jc w:val="center"/>
              <w:rPr>
                <w:sz w:val="22"/>
                <w:szCs w:val="22"/>
              </w:rPr>
            </w:pPr>
            <w:r w:rsidRPr="00442C01">
              <w:rPr>
                <w:sz w:val="22"/>
                <w:szCs w:val="22"/>
              </w:rPr>
              <w:t>7068</w:t>
            </w:r>
          </w:p>
        </w:tc>
      </w:tr>
      <w:tr w:rsidR="00B00555" w:rsidRPr="00F704FE" w:rsidTr="00B00555">
        <w:tc>
          <w:tcPr>
            <w:tcW w:w="1526" w:type="dxa"/>
            <w:shd w:val="clear" w:color="auto" w:fill="auto"/>
          </w:tcPr>
          <w:p w:rsidR="00F704FE" w:rsidRPr="00B00555" w:rsidRDefault="00F704FE" w:rsidP="00425C68">
            <w:pPr>
              <w:ind w:left="-142" w:right="-108"/>
              <w:jc w:val="center"/>
              <w:rPr>
                <w:sz w:val="22"/>
                <w:szCs w:val="22"/>
              </w:rPr>
            </w:pPr>
            <w:r w:rsidRPr="00B00555">
              <w:rPr>
                <w:sz w:val="22"/>
                <w:szCs w:val="22"/>
              </w:rPr>
              <w:t xml:space="preserve">областной бюджет, </w:t>
            </w:r>
            <w:r w:rsidRPr="00B00555">
              <w:rPr>
                <w:i/>
                <w:sz w:val="22"/>
                <w:szCs w:val="22"/>
              </w:rPr>
              <w:t>из них:</w:t>
            </w:r>
          </w:p>
        </w:tc>
        <w:tc>
          <w:tcPr>
            <w:tcW w:w="850" w:type="dxa"/>
            <w:shd w:val="clear" w:color="auto" w:fill="auto"/>
          </w:tcPr>
          <w:p w:rsidR="00F704FE" w:rsidRPr="00442C01" w:rsidRDefault="00F704FE" w:rsidP="00442C01">
            <w:pPr>
              <w:ind w:left="-43" w:right="-69"/>
              <w:jc w:val="center"/>
              <w:rPr>
                <w:sz w:val="22"/>
                <w:szCs w:val="22"/>
              </w:rPr>
            </w:pPr>
            <w:r w:rsidRPr="00442C01">
              <w:rPr>
                <w:sz w:val="22"/>
                <w:szCs w:val="22"/>
              </w:rPr>
              <w:t>37136</w:t>
            </w:r>
          </w:p>
        </w:tc>
        <w:tc>
          <w:tcPr>
            <w:tcW w:w="851" w:type="dxa"/>
            <w:shd w:val="clear" w:color="auto" w:fill="auto"/>
          </w:tcPr>
          <w:p w:rsidR="00F704FE" w:rsidRPr="00442C01" w:rsidRDefault="00F704FE" w:rsidP="00442C01">
            <w:pPr>
              <w:ind w:left="-147" w:right="-106"/>
              <w:jc w:val="center"/>
              <w:rPr>
                <w:sz w:val="22"/>
                <w:szCs w:val="22"/>
              </w:rPr>
            </w:pPr>
            <w:r w:rsidRPr="00442C01">
              <w:rPr>
                <w:sz w:val="22"/>
                <w:szCs w:val="22"/>
              </w:rPr>
              <w:t>37136</w:t>
            </w:r>
          </w:p>
        </w:tc>
        <w:tc>
          <w:tcPr>
            <w:tcW w:w="850" w:type="dxa"/>
            <w:shd w:val="clear" w:color="auto" w:fill="auto"/>
          </w:tcPr>
          <w:p w:rsidR="00F704FE" w:rsidRPr="00442C01" w:rsidRDefault="00F704FE" w:rsidP="00442C01">
            <w:pPr>
              <w:ind w:left="-110" w:right="-144"/>
              <w:jc w:val="center"/>
              <w:rPr>
                <w:sz w:val="22"/>
                <w:szCs w:val="22"/>
              </w:rPr>
            </w:pPr>
            <w:r w:rsidRPr="00442C01">
              <w:rPr>
                <w:sz w:val="22"/>
                <w:szCs w:val="22"/>
              </w:rPr>
              <w:t>37136</w:t>
            </w:r>
          </w:p>
        </w:tc>
        <w:tc>
          <w:tcPr>
            <w:tcW w:w="851" w:type="dxa"/>
            <w:shd w:val="clear" w:color="auto" w:fill="auto"/>
          </w:tcPr>
          <w:p w:rsidR="00F704FE" w:rsidRPr="00442C01" w:rsidRDefault="00F704FE" w:rsidP="00442C01">
            <w:pPr>
              <w:ind w:left="-72" w:right="-41"/>
              <w:jc w:val="center"/>
              <w:rPr>
                <w:sz w:val="22"/>
                <w:szCs w:val="22"/>
              </w:rPr>
            </w:pPr>
            <w:r w:rsidRPr="00442C01">
              <w:rPr>
                <w:sz w:val="22"/>
                <w:szCs w:val="22"/>
              </w:rPr>
              <w:t>37136</w:t>
            </w:r>
          </w:p>
        </w:tc>
        <w:tc>
          <w:tcPr>
            <w:tcW w:w="850" w:type="dxa"/>
            <w:shd w:val="clear" w:color="auto" w:fill="auto"/>
          </w:tcPr>
          <w:p w:rsidR="00F704FE" w:rsidRPr="00442C01" w:rsidRDefault="00F704FE" w:rsidP="00442C01">
            <w:pPr>
              <w:ind w:left="-34" w:right="-101"/>
              <w:jc w:val="center"/>
              <w:rPr>
                <w:sz w:val="22"/>
                <w:szCs w:val="22"/>
              </w:rPr>
            </w:pPr>
            <w:r w:rsidRPr="00442C01">
              <w:rPr>
                <w:sz w:val="22"/>
                <w:szCs w:val="22"/>
              </w:rPr>
              <w:t>148544</w:t>
            </w:r>
          </w:p>
        </w:tc>
        <w:tc>
          <w:tcPr>
            <w:tcW w:w="851" w:type="dxa"/>
            <w:shd w:val="clear" w:color="auto" w:fill="auto"/>
          </w:tcPr>
          <w:p w:rsidR="00F704FE" w:rsidRPr="00442C01" w:rsidRDefault="00F704FE" w:rsidP="00442C01">
            <w:pPr>
              <w:ind w:left="-115" w:right="-139"/>
              <w:jc w:val="center"/>
              <w:rPr>
                <w:sz w:val="22"/>
                <w:szCs w:val="22"/>
              </w:rPr>
            </w:pPr>
            <w:r w:rsidRPr="00442C01">
              <w:rPr>
                <w:sz w:val="22"/>
                <w:szCs w:val="22"/>
              </w:rPr>
              <w:t>37136</w:t>
            </w:r>
          </w:p>
        </w:tc>
        <w:tc>
          <w:tcPr>
            <w:tcW w:w="709" w:type="dxa"/>
            <w:shd w:val="clear" w:color="auto" w:fill="auto"/>
          </w:tcPr>
          <w:p w:rsidR="00F704FE" w:rsidRPr="00442C01" w:rsidRDefault="00F704FE" w:rsidP="00442C01">
            <w:pPr>
              <w:ind w:left="-77" w:right="-178"/>
              <w:jc w:val="center"/>
              <w:rPr>
                <w:sz w:val="22"/>
                <w:szCs w:val="22"/>
              </w:rPr>
            </w:pPr>
            <w:r w:rsidRPr="00442C01">
              <w:rPr>
                <w:sz w:val="22"/>
                <w:szCs w:val="22"/>
              </w:rPr>
              <w:t>24721</w:t>
            </w:r>
          </w:p>
        </w:tc>
        <w:tc>
          <w:tcPr>
            <w:tcW w:w="708" w:type="dxa"/>
            <w:shd w:val="clear" w:color="auto" w:fill="auto"/>
          </w:tcPr>
          <w:p w:rsidR="00F704FE" w:rsidRPr="00442C01" w:rsidRDefault="00F704FE" w:rsidP="00442C01">
            <w:pPr>
              <w:ind w:left="-38" w:right="-108"/>
              <w:jc w:val="center"/>
              <w:rPr>
                <w:sz w:val="22"/>
                <w:szCs w:val="22"/>
              </w:rPr>
            </w:pPr>
            <w:r w:rsidRPr="00442C01">
              <w:rPr>
                <w:sz w:val="22"/>
                <w:szCs w:val="22"/>
              </w:rPr>
              <w:t>21711</w:t>
            </w:r>
          </w:p>
        </w:tc>
        <w:tc>
          <w:tcPr>
            <w:tcW w:w="851" w:type="dxa"/>
            <w:shd w:val="clear" w:color="auto" w:fill="auto"/>
          </w:tcPr>
          <w:p w:rsidR="00F704FE" w:rsidRPr="00442C01" w:rsidRDefault="00F704FE" w:rsidP="00442C01">
            <w:pPr>
              <w:ind w:left="-108" w:right="-113"/>
              <w:jc w:val="center"/>
              <w:rPr>
                <w:sz w:val="22"/>
                <w:szCs w:val="22"/>
              </w:rPr>
            </w:pPr>
            <w:r w:rsidRPr="00442C01">
              <w:rPr>
                <w:sz w:val="22"/>
                <w:szCs w:val="22"/>
              </w:rPr>
              <w:t>27000</w:t>
            </w:r>
          </w:p>
        </w:tc>
        <w:tc>
          <w:tcPr>
            <w:tcW w:w="785" w:type="dxa"/>
            <w:shd w:val="clear" w:color="auto" w:fill="auto"/>
          </w:tcPr>
          <w:p w:rsidR="00F704FE" w:rsidRPr="00442C01" w:rsidRDefault="00F704FE" w:rsidP="00442C01">
            <w:pPr>
              <w:ind w:left="-103" w:right="-32"/>
              <w:jc w:val="center"/>
              <w:rPr>
                <w:sz w:val="22"/>
                <w:szCs w:val="22"/>
              </w:rPr>
            </w:pPr>
            <w:r w:rsidRPr="00442C01">
              <w:rPr>
                <w:sz w:val="22"/>
                <w:szCs w:val="22"/>
              </w:rPr>
              <w:t>110568</w:t>
            </w:r>
          </w:p>
        </w:tc>
      </w:tr>
      <w:tr w:rsidR="00B00555" w:rsidRPr="00F704FE" w:rsidTr="00B00555">
        <w:tc>
          <w:tcPr>
            <w:tcW w:w="1526" w:type="dxa"/>
            <w:shd w:val="clear" w:color="auto" w:fill="auto"/>
          </w:tcPr>
          <w:p w:rsidR="00F704FE" w:rsidRPr="00B00555" w:rsidRDefault="00F704FE" w:rsidP="00425C68">
            <w:pPr>
              <w:ind w:right="-108"/>
              <w:jc w:val="both"/>
              <w:rPr>
                <w:i/>
                <w:sz w:val="22"/>
                <w:szCs w:val="22"/>
              </w:rPr>
            </w:pPr>
            <w:r w:rsidRPr="00B00555">
              <w:rPr>
                <w:i/>
                <w:sz w:val="22"/>
                <w:szCs w:val="22"/>
              </w:rPr>
              <w:t>в бюджеты поселений</w:t>
            </w:r>
          </w:p>
        </w:tc>
        <w:tc>
          <w:tcPr>
            <w:tcW w:w="850" w:type="dxa"/>
            <w:shd w:val="clear" w:color="auto" w:fill="auto"/>
          </w:tcPr>
          <w:p w:rsidR="00F704FE" w:rsidRPr="00442C01" w:rsidRDefault="00F704FE" w:rsidP="00442C01">
            <w:pPr>
              <w:ind w:left="-43" w:right="-69"/>
              <w:jc w:val="center"/>
              <w:rPr>
                <w:i/>
                <w:sz w:val="22"/>
                <w:szCs w:val="22"/>
              </w:rPr>
            </w:pPr>
            <w:r w:rsidRPr="00442C01">
              <w:rPr>
                <w:i/>
                <w:sz w:val="22"/>
                <w:szCs w:val="22"/>
              </w:rPr>
              <w:t>7427</w:t>
            </w:r>
          </w:p>
        </w:tc>
        <w:tc>
          <w:tcPr>
            <w:tcW w:w="851" w:type="dxa"/>
            <w:shd w:val="clear" w:color="auto" w:fill="auto"/>
          </w:tcPr>
          <w:p w:rsidR="00F704FE" w:rsidRPr="00442C01" w:rsidRDefault="00F704FE" w:rsidP="00442C01">
            <w:pPr>
              <w:ind w:left="-147" w:right="-106"/>
              <w:jc w:val="center"/>
              <w:rPr>
                <w:i/>
                <w:sz w:val="22"/>
                <w:szCs w:val="22"/>
              </w:rPr>
            </w:pPr>
            <w:r w:rsidRPr="00442C01">
              <w:rPr>
                <w:i/>
                <w:sz w:val="22"/>
                <w:szCs w:val="22"/>
              </w:rPr>
              <w:t>7427</w:t>
            </w:r>
          </w:p>
        </w:tc>
        <w:tc>
          <w:tcPr>
            <w:tcW w:w="850" w:type="dxa"/>
            <w:shd w:val="clear" w:color="auto" w:fill="auto"/>
          </w:tcPr>
          <w:p w:rsidR="00F704FE" w:rsidRPr="00442C01" w:rsidRDefault="00F704FE" w:rsidP="00442C01">
            <w:pPr>
              <w:ind w:left="-110" w:right="-144"/>
              <w:jc w:val="center"/>
              <w:rPr>
                <w:i/>
                <w:sz w:val="22"/>
                <w:szCs w:val="22"/>
              </w:rPr>
            </w:pPr>
            <w:r w:rsidRPr="00442C01">
              <w:rPr>
                <w:i/>
                <w:sz w:val="22"/>
                <w:szCs w:val="22"/>
              </w:rPr>
              <w:t>7427</w:t>
            </w:r>
          </w:p>
        </w:tc>
        <w:tc>
          <w:tcPr>
            <w:tcW w:w="851" w:type="dxa"/>
            <w:shd w:val="clear" w:color="auto" w:fill="auto"/>
          </w:tcPr>
          <w:p w:rsidR="00F704FE" w:rsidRPr="00442C01" w:rsidRDefault="00F704FE" w:rsidP="00442C01">
            <w:pPr>
              <w:ind w:left="-72" w:right="-41"/>
              <w:jc w:val="center"/>
              <w:rPr>
                <w:i/>
                <w:sz w:val="22"/>
                <w:szCs w:val="22"/>
              </w:rPr>
            </w:pPr>
            <w:r w:rsidRPr="00442C01">
              <w:rPr>
                <w:i/>
                <w:sz w:val="22"/>
                <w:szCs w:val="22"/>
              </w:rPr>
              <w:t>7427</w:t>
            </w:r>
          </w:p>
        </w:tc>
        <w:tc>
          <w:tcPr>
            <w:tcW w:w="850" w:type="dxa"/>
            <w:shd w:val="clear" w:color="auto" w:fill="auto"/>
          </w:tcPr>
          <w:p w:rsidR="00F704FE" w:rsidRPr="00442C01" w:rsidRDefault="00F704FE" w:rsidP="00442C01">
            <w:pPr>
              <w:ind w:left="-34" w:right="-101"/>
              <w:jc w:val="center"/>
              <w:rPr>
                <w:i/>
                <w:sz w:val="22"/>
                <w:szCs w:val="22"/>
              </w:rPr>
            </w:pPr>
            <w:r w:rsidRPr="00442C01">
              <w:rPr>
                <w:i/>
                <w:sz w:val="22"/>
                <w:szCs w:val="22"/>
              </w:rPr>
              <w:t>29708</w:t>
            </w:r>
          </w:p>
        </w:tc>
        <w:tc>
          <w:tcPr>
            <w:tcW w:w="851" w:type="dxa"/>
            <w:shd w:val="clear" w:color="auto" w:fill="auto"/>
          </w:tcPr>
          <w:p w:rsidR="00F704FE" w:rsidRPr="00442C01" w:rsidRDefault="00F704FE" w:rsidP="00442C01">
            <w:pPr>
              <w:ind w:left="-115" w:right="-139"/>
              <w:jc w:val="center"/>
              <w:rPr>
                <w:i/>
                <w:sz w:val="22"/>
                <w:szCs w:val="22"/>
              </w:rPr>
            </w:pPr>
            <w:r w:rsidRPr="00442C01">
              <w:rPr>
                <w:i/>
                <w:sz w:val="22"/>
                <w:szCs w:val="22"/>
              </w:rPr>
              <w:t>7427</w:t>
            </w:r>
          </w:p>
        </w:tc>
        <w:tc>
          <w:tcPr>
            <w:tcW w:w="709" w:type="dxa"/>
            <w:shd w:val="clear" w:color="auto" w:fill="auto"/>
          </w:tcPr>
          <w:p w:rsidR="00F704FE" w:rsidRPr="00442C01" w:rsidRDefault="00F704FE" w:rsidP="00442C01">
            <w:pPr>
              <w:ind w:left="-77" w:right="-178"/>
              <w:jc w:val="center"/>
              <w:rPr>
                <w:i/>
                <w:sz w:val="22"/>
                <w:szCs w:val="22"/>
              </w:rPr>
            </w:pPr>
            <w:r w:rsidRPr="00442C01">
              <w:rPr>
                <w:i/>
                <w:sz w:val="22"/>
                <w:szCs w:val="22"/>
              </w:rPr>
              <w:t>4944</w:t>
            </w:r>
          </w:p>
        </w:tc>
        <w:tc>
          <w:tcPr>
            <w:tcW w:w="708" w:type="dxa"/>
            <w:shd w:val="clear" w:color="auto" w:fill="auto"/>
          </w:tcPr>
          <w:p w:rsidR="00F704FE" w:rsidRPr="00442C01" w:rsidRDefault="00F704FE" w:rsidP="00442C01">
            <w:pPr>
              <w:ind w:left="-38" w:right="-108"/>
              <w:jc w:val="center"/>
              <w:rPr>
                <w:i/>
                <w:sz w:val="22"/>
                <w:szCs w:val="22"/>
              </w:rPr>
            </w:pPr>
            <w:r w:rsidRPr="00442C01">
              <w:rPr>
                <w:i/>
                <w:sz w:val="22"/>
                <w:szCs w:val="22"/>
              </w:rPr>
              <w:t>4342</w:t>
            </w:r>
          </w:p>
        </w:tc>
        <w:tc>
          <w:tcPr>
            <w:tcW w:w="851" w:type="dxa"/>
            <w:shd w:val="clear" w:color="auto" w:fill="auto"/>
          </w:tcPr>
          <w:p w:rsidR="00F704FE" w:rsidRPr="00442C01" w:rsidRDefault="00F704FE" w:rsidP="00442C01">
            <w:pPr>
              <w:ind w:left="-108" w:right="-113"/>
              <w:jc w:val="center"/>
              <w:rPr>
                <w:i/>
                <w:sz w:val="22"/>
                <w:szCs w:val="22"/>
              </w:rPr>
            </w:pPr>
            <w:r w:rsidRPr="00442C01">
              <w:rPr>
                <w:i/>
                <w:sz w:val="22"/>
                <w:szCs w:val="22"/>
              </w:rPr>
              <w:t>3000</w:t>
            </w:r>
          </w:p>
        </w:tc>
        <w:tc>
          <w:tcPr>
            <w:tcW w:w="785" w:type="dxa"/>
            <w:shd w:val="clear" w:color="auto" w:fill="auto"/>
          </w:tcPr>
          <w:p w:rsidR="00F704FE" w:rsidRPr="00442C01" w:rsidRDefault="00F704FE" w:rsidP="00442C01">
            <w:pPr>
              <w:ind w:left="-103" w:right="-32"/>
              <w:jc w:val="center"/>
              <w:rPr>
                <w:i/>
                <w:sz w:val="22"/>
                <w:szCs w:val="22"/>
              </w:rPr>
            </w:pPr>
            <w:r w:rsidRPr="00442C01">
              <w:rPr>
                <w:i/>
                <w:sz w:val="22"/>
                <w:szCs w:val="22"/>
              </w:rPr>
              <w:t>19713</w:t>
            </w:r>
          </w:p>
        </w:tc>
      </w:tr>
    </w:tbl>
    <w:p w:rsidR="00F704FE" w:rsidRPr="00F704FE" w:rsidRDefault="00F704FE" w:rsidP="00F704FE">
      <w:pPr>
        <w:ind w:right="-1" w:firstLine="540"/>
        <w:jc w:val="both"/>
        <w:rPr>
          <w:highlight w:val="yellow"/>
        </w:rPr>
      </w:pPr>
    </w:p>
    <w:p w:rsidR="00F704FE" w:rsidRDefault="00F704FE" w:rsidP="00F704FE">
      <w:pPr>
        <w:ind w:right="-1" w:firstLine="540"/>
        <w:jc w:val="both"/>
      </w:pPr>
      <w:r w:rsidRPr="008A02DD">
        <w:t>Средства районного бюджета в объеме 1767</w:t>
      </w:r>
      <w:r w:rsidR="008A02DD" w:rsidRPr="008A02DD">
        <w:t xml:space="preserve"> </w:t>
      </w:r>
      <w:r w:rsidRPr="008A02DD">
        <w:t xml:space="preserve">тыс. рублей ежегодно планировалось направлять на оплату коммунальных услуг муниципальных учреждений, средства областного бюджета – на софинансирование программ поселений Куйтунского района по повышению эффективности бюджетных расходов, а также на оплату коммунальных услуг учреждений, выплату заработной платы и прочих расходов (ГСМ, связь, охрана и др.). Разделом </w:t>
      </w:r>
      <w:r w:rsidR="008A02DD" w:rsidRPr="008A02DD">
        <w:t xml:space="preserve"> 5 Программы</w:t>
      </w:r>
      <w:r w:rsidRPr="008A02DD">
        <w:t xml:space="preserve"> предусмотрено, что 20% поступивших межбюджетных трансфертов из областного бюджета распределяются муниципальным образованиям Куйтунского района в целях их финансовой поддержки на реализацию целевых программ повышения эффективности бюджетных расходов муниципальных образований на 2012-2013 годы в соответствии с методикой, утвержденной решением Думы МО Куйтунский район. Объемы финансовой поддержки сельских и городского поселений на 2012 и 2013 годы утверждены решением Думы в составе приложений к решению о бюджете МО Куйтунский район.</w:t>
      </w:r>
    </w:p>
    <w:p w:rsidR="007524F1" w:rsidRDefault="007524F1" w:rsidP="006E1BBA">
      <w:pPr>
        <w:ind w:right="-1" w:firstLine="540"/>
        <w:jc w:val="center"/>
        <w:rPr>
          <w:b/>
        </w:rPr>
      </w:pPr>
    </w:p>
    <w:p w:rsidR="006E1BBA" w:rsidRDefault="00DA600D" w:rsidP="006E1BBA">
      <w:pPr>
        <w:ind w:right="-1" w:firstLine="540"/>
        <w:jc w:val="center"/>
        <w:rPr>
          <w:b/>
        </w:rPr>
      </w:pPr>
      <w:r w:rsidRPr="006E1BBA">
        <w:rPr>
          <w:b/>
        </w:rPr>
        <w:t>3</w:t>
      </w:r>
      <w:r w:rsidR="00CF71F4" w:rsidRPr="006E1BBA">
        <w:rPr>
          <w:b/>
        </w:rPr>
        <w:t>.</w:t>
      </w:r>
      <w:r w:rsidR="00CF71F4" w:rsidRPr="00425C68">
        <w:rPr>
          <w:b/>
          <w:color w:val="FF0000"/>
        </w:rPr>
        <w:t xml:space="preserve"> </w:t>
      </w:r>
      <w:r w:rsidR="006E1BBA">
        <w:rPr>
          <w:b/>
        </w:rPr>
        <w:t>Реализация Программы</w:t>
      </w:r>
    </w:p>
    <w:p w:rsidR="006E1BBA" w:rsidRPr="00365DFC" w:rsidRDefault="006E1BBA" w:rsidP="006E1BBA">
      <w:pPr>
        <w:ind w:right="-1" w:firstLine="540"/>
        <w:jc w:val="center"/>
        <w:rPr>
          <w:b/>
        </w:rPr>
      </w:pPr>
    </w:p>
    <w:p w:rsidR="006E1BBA" w:rsidRPr="006E1BBA" w:rsidRDefault="006E1BBA" w:rsidP="006E1BBA">
      <w:pPr>
        <w:ind w:right="-1" w:firstLine="540"/>
        <w:jc w:val="both"/>
      </w:pPr>
      <w:r w:rsidRPr="006E1BBA">
        <w:t>В рамках реализации мероприятий ДЦП «Повышение эффективности бюджетных расходов Иркутской области на 2011-2015годы» бюджетам муниципальных районов Иркутской области предоставляются межбюджетные трансферты в форме субсидии. Целью предоставления данных субсидий является реализация мероприятий соответствующих программ муниципальных образований Иркутской области.</w:t>
      </w:r>
    </w:p>
    <w:p w:rsidR="006E1BBA" w:rsidRPr="006E1BBA" w:rsidRDefault="006E1BBA" w:rsidP="006E1BBA">
      <w:pPr>
        <w:ind w:right="-1" w:firstLine="540"/>
        <w:jc w:val="both"/>
      </w:pPr>
      <w:r w:rsidRPr="006E1BBA">
        <w:t>Для расчета субсидии в части основных параметров исполнения местных бюджетов Министерством финансов Иркутской области использовались следующие показатели эффективности управления бюджетными средствами:</w:t>
      </w:r>
    </w:p>
    <w:p w:rsidR="006E1BBA" w:rsidRPr="006E1BBA" w:rsidRDefault="006E1BBA" w:rsidP="006E1BBA">
      <w:pPr>
        <w:ind w:right="-1" w:firstLine="540"/>
        <w:jc w:val="both"/>
      </w:pPr>
      <w:r w:rsidRPr="006E1BBA">
        <w:t>1) соответствие предельного объема муниципального долга требованиям п. 3 ст. 107 БК РФ;</w:t>
      </w:r>
    </w:p>
    <w:p w:rsidR="006E1BBA" w:rsidRPr="006E1BBA" w:rsidRDefault="006E1BBA" w:rsidP="006E1BBA">
      <w:pPr>
        <w:ind w:right="-1" w:firstLine="540"/>
        <w:jc w:val="both"/>
      </w:pPr>
      <w:r w:rsidRPr="006E1BBA">
        <w:t>2) отсутствие просроченной задолженности по бюджетным ссудам и кредитам консолидированного бюджета, в отношении которого ранее была проведена реструктуризация обязательств;</w:t>
      </w:r>
    </w:p>
    <w:p w:rsidR="006E1BBA" w:rsidRPr="006E1BBA" w:rsidRDefault="006E1BBA" w:rsidP="006E1BBA">
      <w:pPr>
        <w:ind w:right="-1" w:firstLine="540"/>
        <w:jc w:val="both"/>
      </w:pPr>
      <w:r w:rsidRPr="006E1BBA">
        <w:t>3) среднедушевые налоговые доходы, поступающие в консолидированный бюджет района и темп их роста;</w:t>
      </w:r>
    </w:p>
    <w:p w:rsidR="006E1BBA" w:rsidRPr="006E1BBA" w:rsidRDefault="006E1BBA" w:rsidP="006E1BBA">
      <w:pPr>
        <w:ind w:right="-1" w:firstLine="540"/>
        <w:jc w:val="both"/>
      </w:pPr>
      <w:r w:rsidRPr="006E1BBA">
        <w:t>4) среднедушевые неналоговые доходы, поступающие в консолидированный бюджет района и темп их роста;</w:t>
      </w:r>
    </w:p>
    <w:p w:rsidR="006E1BBA" w:rsidRPr="006E1BBA" w:rsidRDefault="006E1BBA" w:rsidP="006E1BBA">
      <w:pPr>
        <w:ind w:right="-1" w:firstLine="540"/>
        <w:jc w:val="both"/>
      </w:pPr>
      <w:r w:rsidRPr="006E1BBA">
        <w:t>5) сокращение просроченной кредиторской и дебиторской задолженности консолидированного бюджета района;</w:t>
      </w:r>
    </w:p>
    <w:p w:rsidR="006E1BBA" w:rsidRPr="006E1BBA" w:rsidRDefault="006E1BBA" w:rsidP="006E1BBA">
      <w:pPr>
        <w:ind w:right="-1" w:firstLine="540"/>
        <w:jc w:val="both"/>
      </w:pPr>
      <w:r w:rsidRPr="006E1BBA">
        <w:t>6) сбалансированность консолидированного бюджета района;</w:t>
      </w:r>
    </w:p>
    <w:p w:rsidR="006E1BBA" w:rsidRPr="006E1BBA" w:rsidRDefault="006E1BBA" w:rsidP="006E1BBA">
      <w:pPr>
        <w:ind w:right="-1" w:firstLine="540"/>
        <w:jc w:val="both"/>
        <w:rPr>
          <w:highlight w:val="yellow"/>
        </w:rPr>
      </w:pPr>
      <w:r w:rsidRPr="006E1BBA">
        <w:t xml:space="preserve">7) наличие утвержденного бюджета на очередной финансовый год и плановый период. </w:t>
      </w:r>
    </w:p>
    <w:p w:rsidR="006E1BBA" w:rsidRPr="006E1BBA" w:rsidRDefault="006E1BBA" w:rsidP="006E1BBA">
      <w:pPr>
        <w:ind w:right="-1" w:firstLine="540"/>
        <w:jc w:val="both"/>
        <w:rPr>
          <w:highlight w:val="yellow"/>
        </w:rPr>
      </w:pPr>
    </w:p>
    <w:p w:rsidR="006E1BBA" w:rsidRPr="000F163D" w:rsidRDefault="007524F1" w:rsidP="006E1BBA">
      <w:pPr>
        <w:ind w:right="-1" w:firstLine="540"/>
        <w:jc w:val="both"/>
      </w:pPr>
      <w:r>
        <w:lastRenderedPageBreak/>
        <w:t xml:space="preserve">3.1 </w:t>
      </w:r>
      <w:r w:rsidR="006E1BBA" w:rsidRPr="000F163D">
        <w:t>Программой Иркутской области (в ред. от</w:t>
      </w:r>
      <w:r w:rsidR="000F163D" w:rsidRPr="000F163D">
        <w:t xml:space="preserve"> </w:t>
      </w:r>
      <w:r w:rsidR="006E1BBA" w:rsidRPr="000F163D">
        <w:t xml:space="preserve">28.12.2012) </w:t>
      </w:r>
      <w:r w:rsidR="006E1BBA" w:rsidRPr="000F163D">
        <w:rPr>
          <w:b/>
          <w:u w:val="single"/>
        </w:rPr>
        <w:t>на 2012</w:t>
      </w:r>
      <w:r w:rsidR="000F163D" w:rsidRPr="000F163D">
        <w:rPr>
          <w:b/>
          <w:u w:val="single"/>
        </w:rPr>
        <w:t xml:space="preserve"> </w:t>
      </w:r>
      <w:r w:rsidR="006E1BBA" w:rsidRPr="000F163D">
        <w:rPr>
          <w:b/>
          <w:u w:val="single"/>
        </w:rPr>
        <w:t>год</w:t>
      </w:r>
      <w:r w:rsidR="006E1BBA" w:rsidRPr="000F163D">
        <w:t xml:space="preserve"> объем субсидии МО «Куйтунский район» предусмотрен в сумме </w:t>
      </w:r>
      <w:r w:rsidR="006E1BBA" w:rsidRPr="000F163D">
        <w:rPr>
          <w:b/>
          <w:u w:val="single"/>
        </w:rPr>
        <w:t>37136</w:t>
      </w:r>
      <w:r w:rsidR="000F163D" w:rsidRPr="000F163D">
        <w:rPr>
          <w:b/>
          <w:u w:val="single"/>
        </w:rPr>
        <w:t xml:space="preserve"> </w:t>
      </w:r>
      <w:r w:rsidR="006E1BBA" w:rsidRPr="000F163D">
        <w:rPr>
          <w:b/>
          <w:u w:val="single"/>
        </w:rPr>
        <w:t>тыс. рублей</w:t>
      </w:r>
      <w:r w:rsidR="006E1BBA" w:rsidRPr="000F163D">
        <w:rPr>
          <w:u w:val="single"/>
        </w:rPr>
        <w:t>.</w:t>
      </w:r>
      <w:r w:rsidR="000F163D" w:rsidRPr="000F163D">
        <w:t xml:space="preserve"> </w:t>
      </w:r>
      <w:r w:rsidR="006E1BBA" w:rsidRPr="000F163D">
        <w:t>Исходя из основных параметров местного бюджета, размер субсидии распределен следующим образом: 1 этап (до 1 января) – 11855</w:t>
      </w:r>
      <w:r w:rsidR="000F163D" w:rsidRPr="000F163D">
        <w:t xml:space="preserve"> </w:t>
      </w:r>
      <w:r w:rsidR="006E1BBA" w:rsidRPr="000F163D">
        <w:t>тыс. рублей, 2 этап (до 1 июля) – 16733</w:t>
      </w:r>
      <w:r w:rsidR="000F163D" w:rsidRPr="000F163D">
        <w:t xml:space="preserve"> </w:t>
      </w:r>
      <w:r w:rsidR="006E1BBA" w:rsidRPr="000F163D">
        <w:t>тыс. рублей, 3 этап (до 1 октября) – 7688 тыс. рублей, и, исходя из показателей, характеризующих эффективность введения новой системы оплаты труда в муниципальных учреждениях – 860 тыс. рублей (приложение 5 к ДЦП, раздел 5 ДЦП).</w:t>
      </w:r>
    </w:p>
    <w:p w:rsidR="006E1BBA" w:rsidRPr="006E1BBA" w:rsidRDefault="006E1BBA" w:rsidP="000F163D">
      <w:pPr>
        <w:ind w:firstLine="539"/>
        <w:jc w:val="both"/>
        <w:rPr>
          <w:highlight w:val="yellow"/>
        </w:rPr>
      </w:pPr>
      <w:r w:rsidRPr="000F163D">
        <w:t>В ходе проверки установлено, что до ФУА доведен объем ассигнований на реализацию мероприятий  областной программы в сумме 37136 тыс. рублей.</w:t>
      </w:r>
      <w:r w:rsidR="000F163D" w:rsidRPr="000F163D">
        <w:t xml:space="preserve"> </w:t>
      </w:r>
      <w:r w:rsidRPr="000F163D">
        <w:t xml:space="preserve">Министерством финансов Иркутской области, как главным распорядителем средств, субсидия перечислялась частями. Так, в первом квартале 2012 года субсидия в бюджет района не перечислялась, во втором квартале перечислено 12715 тыс. рублей, в третьем квартале перечислено 16733 тыс. рублей, в четвертом </w:t>
      </w:r>
      <w:r w:rsidR="000F163D" w:rsidRPr="000F163D">
        <w:t>–</w:t>
      </w:r>
      <w:r w:rsidRPr="000F163D">
        <w:t xml:space="preserve"> 7688</w:t>
      </w:r>
      <w:r w:rsidR="000F163D" w:rsidRPr="000F163D">
        <w:t xml:space="preserve"> </w:t>
      </w:r>
      <w:r w:rsidRPr="000F163D">
        <w:t>тыс. рублей.</w:t>
      </w:r>
      <w:r w:rsidR="000F163D" w:rsidRPr="000F163D">
        <w:t xml:space="preserve"> </w:t>
      </w:r>
      <w:r w:rsidRPr="000F163D">
        <w:t>За 2012</w:t>
      </w:r>
      <w:r w:rsidR="000F163D" w:rsidRPr="000F163D">
        <w:t xml:space="preserve"> </w:t>
      </w:r>
      <w:r w:rsidRPr="000F163D">
        <w:t xml:space="preserve">год субсидия поступила в полном объеме, как и планировалось, в </w:t>
      </w:r>
      <w:r w:rsidRPr="000F163D">
        <w:rPr>
          <w:b/>
        </w:rPr>
        <w:t>сумме 37136 тыс. рублей</w:t>
      </w:r>
      <w:r w:rsidRPr="000F163D">
        <w:t>.</w:t>
      </w:r>
      <w:r w:rsidRPr="006E1BBA">
        <w:rPr>
          <w:highlight w:val="yellow"/>
        </w:rPr>
        <w:t xml:space="preserve"> </w:t>
      </w:r>
      <w:r w:rsidRPr="000F163D">
        <w:t>Из общей суммы поступившей субсидии 20%, или 7427,2 тыс. рублей распределены на целевую статью 7954700 «Целевая программа «Повышение эффективности управления муниципальными финансами МО Куйтунский район на 2011-2015 годы»» по подразделу 1403 «Прочие межбюджетные трансферты общего характера» для передачи МБТ</w:t>
      </w:r>
      <w:r w:rsidR="000F163D" w:rsidRPr="000F163D">
        <w:t xml:space="preserve"> </w:t>
      </w:r>
      <w:r w:rsidRPr="000F163D">
        <w:t>бюджетам поселений Куйтунского района в целях реализации аналогичных муниципальных программ. Остальные средства в сумме 29708,8 тыс. руб</w:t>
      </w:r>
      <w:r w:rsidR="009874A4">
        <w:t>лей</w:t>
      </w:r>
      <w:r w:rsidRPr="000F163D">
        <w:t xml:space="preserve"> распределены по целевым статьям, предусматривающим расходы на содержание органов власти, учреждений образования и культуры (оплата труда, коммунальные услуги и др.).</w:t>
      </w:r>
    </w:p>
    <w:p w:rsidR="006E1BBA" w:rsidRPr="000F163D" w:rsidRDefault="006E1BBA" w:rsidP="000F163D">
      <w:pPr>
        <w:ind w:firstLine="539"/>
        <w:jc w:val="both"/>
      </w:pPr>
      <w:r w:rsidRPr="000F163D">
        <w:t>В местном бюджете на 2012 год, утвержденным решением Думы муниципального образования Куйтунский район от 25.12.2012г. № 261, на реализацию мероприятий Программы было предусмотрено 1767,3 тыс.</w:t>
      </w:r>
      <w:r w:rsidR="000F163D" w:rsidRPr="000F163D">
        <w:t xml:space="preserve"> </w:t>
      </w:r>
      <w:r w:rsidRPr="000F163D">
        <w:t>руб</w:t>
      </w:r>
      <w:r w:rsidR="000F163D" w:rsidRPr="000F163D">
        <w:t>лей</w:t>
      </w:r>
      <w:r w:rsidRPr="000F163D">
        <w:t>, в том числе по ГРБС:</w:t>
      </w:r>
    </w:p>
    <w:p w:rsidR="006E1BBA" w:rsidRPr="000F163D" w:rsidRDefault="006E1BBA" w:rsidP="000F163D">
      <w:pPr>
        <w:ind w:firstLine="539"/>
        <w:jc w:val="both"/>
      </w:pPr>
      <w:r w:rsidRPr="000F163D">
        <w:t>- МКУ «Управление образования администрации МО Куйтунский район» - 1591,3 тыс.</w:t>
      </w:r>
      <w:r w:rsidR="000F163D" w:rsidRPr="000F163D">
        <w:t xml:space="preserve"> </w:t>
      </w:r>
      <w:r w:rsidRPr="000F163D">
        <w:t>руб</w:t>
      </w:r>
      <w:r w:rsidR="000F163D" w:rsidRPr="000F163D">
        <w:t>лей</w:t>
      </w:r>
      <w:r w:rsidRPr="000F163D">
        <w:t>;</w:t>
      </w:r>
    </w:p>
    <w:p w:rsidR="006E1BBA" w:rsidRPr="000F163D" w:rsidRDefault="006E1BBA" w:rsidP="000F163D">
      <w:pPr>
        <w:ind w:firstLine="539"/>
        <w:jc w:val="both"/>
      </w:pPr>
      <w:r w:rsidRPr="000F163D">
        <w:t>-  Администрация МО Куйтунский район – 176 тыс.</w:t>
      </w:r>
      <w:r w:rsidR="000F163D" w:rsidRPr="000F163D">
        <w:t xml:space="preserve"> </w:t>
      </w:r>
      <w:r w:rsidRPr="000F163D">
        <w:t>руб</w:t>
      </w:r>
      <w:r w:rsidR="000F163D" w:rsidRPr="000F163D">
        <w:t>лей.</w:t>
      </w:r>
    </w:p>
    <w:p w:rsidR="006E1BBA" w:rsidRPr="000F163D" w:rsidRDefault="006E1BBA" w:rsidP="000F163D">
      <w:pPr>
        <w:ind w:firstLine="539"/>
        <w:jc w:val="both"/>
      </w:pPr>
      <w:r w:rsidRPr="000F163D">
        <w:t>Кассовые расходы составили  100% от утвержденного финансирования в местном бюджете на 2012 год. Денежные средства были направлены на оплату коммунальных услуг муниципальных учреждений в сумме 1767,3 тыс. рублей, из них на оплату эл</w:t>
      </w:r>
      <w:r w:rsidR="000F163D" w:rsidRPr="000F163D">
        <w:t xml:space="preserve">ектрической </w:t>
      </w:r>
      <w:r w:rsidRPr="000F163D">
        <w:t>энергии – 827 тыс. руб</w:t>
      </w:r>
      <w:r w:rsidR="000F163D" w:rsidRPr="000F163D">
        <w:t>лей</w:t>
      </w:r>
      <w:r w:rsidRPr="000F163D">
        <w:t>, отопления – 904,7 тыс. руб</w:t>
      </w:r>
      <w:r w:rsidR="000F163D" w:rsidRPr="000F163D">
        <w:t>лей</w:t>
      </w:r>
      <w:r w:rsidRPr="000F163D">
        <w:t>, водоснабжения – 35,6</w:t>
      </w:r>
      <w:r w:rsidR="000F163D" w:rsidRPr="000F163D">
        <w:t xml:space="preserve"> </w:t>
      </w:r>
      <w:r w:rsidRPr="000F163D">
        <w:t>тыс. руб</w:t>
      </w:r>
      <w:r w:rsidR="000F163D" w:rsidRPr="000F163D">
        <w:t>лей.</w:t>
      </w:r>
    </w:p>
    <w:p w:rsidR="006E1BBA" w:rsidRPr="007524F1" w:rsidRDefault="006E1BBA" w:rsidP="000F163D">
      <w:pPr>
        <w:ind w:firstLine="539"/>
        <w:jc w:val="both"/>
      </w:pPr>
      <w:r w:rsidRPr="007524F1">
        <w:t>Сведения о ресурсном обеспечении Программы в 2012 году представлены в таблице</w:t>
      </w:r>
      <w:r w:rsidR="00EF67FD" w:rsidRPr="007524F1">
        <w:t xml:space="preserve"> 2</w:t>
      </w:r>
      <w:r w:rsidRPr="007524F1">
        <w:t>.</w:t>
      </w:r>
    </w:p>
    <w:p w:rsidR="007524F1" w:rsidRPr="007524F1" w:rsidRDefault="007524F1" w:rsidP="000F163D">
      <w:pPr>
        <w:ind w:firstLine="539"/>
        <w:jc w:val="both"/>
      </w:pPr>
      <w:r w:rsidRPr="007524F1">
        <w:t xml:space="preserve">                                                                                                     Таблица 2,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6E1BBA" w:rsidRPr="006E1BBA" w:rsidTr="000126BB">
        <w:tc>
          <w:tcPr>
            <w:tcW w:w="1914" w:type="dxa"/>
            <w:shd w:val="clear" w:color="auto" w:fill="auto"/>
          </w:tcPr>
          <w:p w:rsidR="006E1BBA" w:rsidRPr="007524F1" w:rsidRDefault="006E1BBA" w:rsidP="007524F1">
            <w:pPr>
              <w:ind w:right="-1"/>
              <w:jc w:val="center"/>
              <w:rPr>
                <w:sz w:val="20"/>
                <w:szCs w:val="20"/>
              </w:rPr>
            </w:pPr>
            <w:r w:rsidRPr="007524F1">
              <w:rPr>
                <w:sz w:val="20"/>
                <w:szCs w:val="20"/>
              </w:rPr>
              <w:t>2012 год</w:t>
            </w:r>
          </w:p>
        </w:tc>
        <w:tc>
          <w:tcPr>
            <w:tcW w:w="1914" w:type="dxa"/>
            <w:shd w:val="clear" w:color="auto" w:fill="auto"/>
          </w:tcPr>
          <w:p w:rsidR="006E1BBA" w:rsidRPr="007524F1" w:rsidRDefault="006E1BBA" w:rsidP="007524F1">
            <w:pPr>
              <w:ind w:right="-1"/>
              <w:jc w:val="center"/>
              <w:rPr>
                <w:sz w:val="20"/>
                <w:szCs w:val="20"/>
              </w:rPr>
            </w:pPr>
            <w:r w:rsidRPr="007524F1">
              <w:rPr>
                <w:sz w:val="20"/>
                <w:szCs w:val="20"/>
              </w:rPr>
              <w:t>Утверждено паспортом</w:t>
            </w:r>
          </w:p>
        </w:tc>
        <w:tc>
          <w:tcPr>
            <w:tcW w:w="1914" w:type="dxa"/>
            <w:shd w:val="clear" w:color="auto" w:fill="auto"/>
          </w:tcPr>
          <w:p w:rsidR="006E1BBA" w:rsidRPr="007524F1" w:rsidRDefault="006E1BBA" w:rsidP="007524F1">
            <w:pPr>
              <w:ind w:right="-1"/>
              <w:jc w:val="center"/>
              <w:rPr>
                <w:sz w:val="20"/>
                <w:szCs w:val="20"/>
              </w:rPr>
            </w:pPr>
            <w:r w:rsidRPr="007524F1">
              <w:rPr>
                <w:sz w:val="20"/>
                <w:szCs w:val="20"/>
              </w:rPr>
              <w:t>Утверждено бюджетом</w:t>
            </w:r>
          </w:p>
        </w:tc>
        <w:tc>
          <w:tcPr>
            <w:tcW w:w="1914" w:type="dxa"/>
            <w:shd w:val="clear" w:color="auto" w:fill="auto"/>
          </w:tcPr>
          <w:p w:rsidR="006E1BBA" w:rsidRPr="007524F1" w:rsidRDefault="006E1BBA" w:rsidP="007524F1">
            <w:pPr>
              <w:ind w:right="-1"/>
              <w:jc w:val="center"/>
              <w:rPr>
                <w:sz w:val="20"/>
                <w:szCs w:val="20"/>
              </w:rPr>
            </w:pPr>
            <w:r w:rsidRPr="007524F1">
              <w:rPr>
                <w:sz w:val="20"/>
                <w:szCs w:val="20"/>
              </w:rPr>
              <w:t>Фактическое исполнение</w:t>
            </w:r>
          </w:p>
        </w:tc>
        <w:tc>
          <w:tcPr>
            <w:tcW w:w="1914" w:type="dxa"/>
            <w:shd w:val="clear" w:color="auto" w:fill="auto"/>
          </w:tcPr>
          <w:p w:rsidR="006E1BBA" w:rsidRPr="007524F1" w:rsidRDefault="006E1BBA" w:rsidP="007524F1">
            <w:pPr>
              <w:ind w:right="-1"/>
              <w:jc w:val="center"/>
              <w:rPr>
                <w:sz w:val="20"/>
                <w:szCs w:val="20"/>
              </w:rPr>
            </w:pPr>
            <w:r w:rsidRPr="007524F1">
              <w:rPr>
                <w:sz w:val="20"/>
                <w:szCs w:val="20"/>
              </w:rPr>
              <w:t>% исполнения</w:t>
            </w:r>
            <w:r w:rsidR="007524F1" w:rsidRPr="007524F1">
              <w:rPr>
                <w:sz w:val="20"/>
                <w:szCs w:val="20"/>
              </w:rPr>
              <w:t xml:space="preserve"> </w:t>
            </w:r>
            <w:r w:rsidRPr="007524F1">
              <w:rPr>
                <w:sz w:val="20"/>
                <w:szCs w:val="20"/>
              </w:rPr>
              <w:t>от утвержденного бюджетом</w:t>
            </w:r>
          </w:p>
        </w:tc>
      </w:tr>
      <w:tr w:rsidR="006E1BBA" w:rsidRPr="006E1BBA" w:rsidTr="000126BB">
        <w:tc>
          <w:tcPr>
            <w:tcW w:w="1914" w:type="dxa"/>
            <w:shd w:val="clear" w:color="auto" w:fill="auto"/>
          </w:tcPr>
          <w:p w:rsidR="006E1BBA" w:rsidRPr="007524F1" w:rsidRDefault="006E1BBA" w:rsidP="000126BB">
            <w:pPr>
              <w:ind w:right="-1"/>
              <w:jc w:val="both"/>
              <w:rPr>
                <w:sz w:val="20"/>
                <w:szCs w:val="20"/>
              </w:rPr>
            </w:pPr>
            <w:r w:rsidRPr="007524F1">
              <w:rPr>
                <w:sz w:val="20"/>
                <w:szCs w:val="20"/>
              </w:rPr>
              <w:t xml:space="preserve">за счет областной субсидии, из них: </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37136</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37136</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37136</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100</w:t>
            </w:r>
          </w:p>
        </w:tc>
      </w:tr>
      <w:tr w:rsidR="006E1BBA" w:rsidRPr="006E1BBA" w:rsidTr="000126BB">
        <w:tc>
          <w:tcPr>
            <w:tcW w:w="1914" w:type="dxa"/>
            <w:shd w:val="clear" w:color="auto" w:fill="auto"/>
          </w:tcPr>
          <w:p w:rsidR="006E1BBA" w:rsidRPr="007524F1" w:rsidRDefault="006E1BBA" w:rsidP="000126BB">
            <w:pPr>
              <w:ind w:right="-1"/>
              <w:jc w:val="both"/>
              <w:rPr>
                <w:i/>
                <w:sz w:val="20"/>
                <w:szCs w:val="20"/>
              </w:rPr>
            </w:pPr>
            <w:r w:rsidRPr="007524F1">
              <w:rPr>
                <w:i/>
                <w:sz w:val="20"/>
                <w:szCs w:val="20"/>
              </w:rPr>
              <w:t>в бюджеты поселений</w:t>
            </w:r>
          </w:p>
        </w:tc>
        <w:tc>
          <w:tcPr>
            <w:tcW w:w="1914" w:type="dxa"/>
            <w:shd w:val="clear" w:color="auto" w:fill="auto"/>
          </w:tcPr>
          <w:p w:rsidR="006E1BBA" w:rsidRPr="007524F1" w:rsidRDefault="006E1BBA" w:rsidP="000126BB">
            <w:pPr>
              <w:ind w:right="-1"/>
              <w:jc w:val="center"/>
              <w:rPr>
                <w:i/>
                <w:sz w:val="22"/>
                <w:szCs w:val="22"/>
              </w:rPr>
            </w:pPr>
            <w:r w:rsidRPr="007524F1">
              <w:rPr>
                <w:i/>
                <w:sz w:val="22"/>
                <w:szCs w:val="22"/>
              </w:rPr>
              <w:t>7427,2</w:t>
            </w:r>
          </w:p>
        </w:tc>
        <w:tc>
          <w:tcPr>
            <w:tcW w:w="1914" w:type="dxa"/>
            <w:shd w:val="clear" w:color="auto" w:fill="auto"/>
          </w:tcPr>
          <w:p w:rsidR="006E1BBA" w:rsidRPr="007524F1" w:rsidRDefault="006E1BBA" w:rsidP="000126BB">
            <w:pPr>
              <w:ind w:right="-1"/>
              <w:jc w:val="center"/>
              <w:rPr>
                <w:i/>
                <w:sz w:val="22"/>
                <w:szCs w:val="22"/>
              </w:rPr>
            </w:pPr>
            <w:r w:rsidRPr="007524F1">
              <w:rPr>
                <w:i/>
                <w:sz w:val="22"/>
                <w:szCs w:val="22"/>
              </w:rPr>
              <w:t>7427,2</w:t>
            </w:r>
          </w:p>
        </w:tc>
        <w:tc>
          <w:tcPr>
            <w:tcW w:w="1914" w:type="dxa"/>
            <w:shd w:val="clear" w:color="auto" w:fill="auto"/>
          </w:tcPr>
          <w:p w:rsidR="006E1BBA" w:rsidRPr="007524F1" w:rsidRDefault="006E1BBA" w:rsidP="000126BB">
            <w:pPr>
              <w:ind w:right="-1"/>
              <w:jc w:val="center"/>
              <w:rPr>
                <w:i/>
                <w:sz w:val="22"/>
                <w:szCs w:val="22"/>
              </w:rPr>
            </w:pPr>
            <w:r w:rsidRPr="007524F1">
              <w:rPr>
                <w:i/>
                <w:sz w:val="22"/>
                <w:szCs w:val="22"/>
              </w:rPr>
              <w:t>7427,2</w:t>
            </w:r>
          </w:p>
        </w:tc>
        <w:tc>
          <w:tcPr>
            <w:tcW w:w="1914" w:type="dxa"/>
            <w:shd w:val="clear" w:color="auto" w:fill="auto"/>
          </w:tcPr>
          <w:p w:rsidR="006E1BBA" w:rsidRPr="007524F1" w:rsidRDefault="006E1BBA" w:rsidP="000126BB">
            <w:pPr>
              <w:ind w:right="-1"/>
              <w:jc w:val="center"/>
              <w:rPr>
                <w:i/>
                <w:sz w:val="22"/>
                <w:szCs w:val="22"/>
              </w:rPr>
            </w:pPr>
            <w:r w:rsidRPr="007524F1">
              <w:rPr>
                <w:i/>
                <w:sz w:val="22"/>
                <w:szCs w:val="22"/>
              </w:rPr>
              <w:t>100</w:t>
            </w:r>
          </w:p>
        </w:tc>
      </w:tr>
      <w:tr w:rsidR="006E1BBA" w:rsidRPr="006E1BBA" w:rsidTr="000126BB">
        <w:tc>
          <w:tcPr>
            <w:tcW w:w="1914" w:type="dxa"/>
            <w:shd w:val="clear" w:color="auto" w:fill="auto"/>
          </w:tcPr>
          <w:p w:rsidR="006E1BBA" w:rsidRPr="007524F1" w:rsidRDefault="006E1BBA" w:rsidP="000126BB">
            <w:pPr>
              <w:ind w:right="-1"/>
              <w:jc w:val="both"/>
              <w:rPr>
                <w:sz w:val="20"/>
                <w:szCs w:val="20"/>
              </w:rPr>
            </w:pPr>
            <w:r w:rsidRPr="007524F1">
              <w:rPr>
                <w:sz w:val="20"/>
                <w:szCs w:val="20"/>
              </w:rPr>
              <w:t>местные средства</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1767</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1767</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1767</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100</w:t>
            </w:r>
          </w:p>
        </w:tc>
      </w:tr>
      <w:tr w:rsidR="006E1BBA" w:rsidRPr="006E1BBA" w:rsidTr="000126BB">
        <w:tc>
          <w:tcPr>
            <w:tcW w:w="1914" w:type="dxa"/>
            <w:shd w:val="clear" w:color="auto" w:fill="auto"/>
          </w:tcPr>
          <w:p w:rsidR="006E1BBA" w:rsidRPr="007524F1" w:rsidRDefault="006E1BBA" w:rsidP="007524F1">
            <w:pPr>
              <w:ind w:right="-1"/>
              <w:jc w:val="center"/>
              <w:rPr>
                <w:sz w:val="20"/>
                <w:szCs w:val="20"/>
              </w:rPr>
            </w:pPr>
            <w:r w:rsidRPr="007524F1">
              <w:rPr>
                <w:sz w:val="20"/>
                <w:szCs w:val="20"/>
              </w:rPr>
              <w:t>Итого</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38903</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38903</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38903</w:t>
            </w:r>
          </w:p>
        </w:tc>
        <w:tc>
          <w:tcPr>
            <w:tcW w:w="1914" w:type="dxa"/>
            <w:shd w:val="clear" w:color="auto" w:fill="auto"/>
          </w:tcPr>
          <w:p w:rsidR="006E1BBA" w:rsidRPr="007524F1" w:rsidRDefault="006E1BBA" w:rsidP="000126BB">
            <w:pPr>
              <w:ind w:right="-1"/>
              <w:jc w:val="center"/>
              <w:rPr>
                <w:sz w:val="22"/>
                <w:szCs w:val="22"/>
              </w:rPr>
            </w:pPr>
            <w:r w:rsidRPr="007524F1">
              <w:rPr>
                <w:sz w:val="22"/>
                <w:szCs w:val="22"/>
              </w:rPr>
              <w:t>100</w:t>
            </w:r>
          </w:p>
        </w:tc>
      </w:tr>
    </w:tbl>
    <w:p w:rsidR="006E1BBA" w:rsidRPr="006E1BBA" w:rsidRDefault="006E1BBA" w:rsidP="006E1BBA">
      <w:pPr>
        <w:ind w:right="-1" w:firstLine="540"/>
        <w:jc w:val="both"/>
        <w:rPr>
          <w:highlight w:val="yellow"/>
        </w:rPr>
      </w:pPr>
    </w:p>
    <w:p w:rsidR="006E1BBA" w:rsidRPr="007524F1" w:rsidRDefault="007524F1" w:rsidP="006E1BBA">
      <w:pPr>
        <w:ind w:right="-1" w:firstLine="540"/>
        <w:jc w:val="both"/>
      </w:pPr>
      <w:r w:rsidRPr="007524F1">
        <w:t xml:space="preserve">3.2 </w:t>
      </w:r>
      <w:r w:rsidR="006E1BBA" w:rsidRPr="007524F1">
        <w:t xml:space="preserve">Программой Иркутской области (в ред. от 03.09.2013) </w:t>
      </w:r>
      <w:r w:rsidR="006E1BBA" w:rsidRPr="007524F1">
        <w:rPr>
          <w:b/>
          <w:u w:val="single"/>
        </w:rPr>
        <w:t>на 2013</w:t>
      </w:r>
      <w:r>
        <w:rPr>
          <w:b/>
          <w:u w:val="single"/>
        </w:rPr>
        <w:t xml:space="preserve"> </w:t>
      </w:r>
      <w:r w:rsidR="006E1BBA" w:rsidRPr="007524F1">
        <w:rPr>
          <w:b/>
          <w:u w:val="single"/>
        </w:rPr>
        <w:t>го</w:t>
      </w:r>
      <w:r w:rsidR="006E1BBA" w:rsidRPr="007524F1">
        <w:rPr>
          <w:b/>
        </w:rPr>
        <w:t>д</w:t>
      </w:r>
      <w:r w:rsidRPr="007524F1">
        <w:rPr>
          <w:b/>
        </w:rPr>
        <w:t xml:space="preserve"> </w:t>
      </w:r>
      <w:r w:rsidR="006E1BBA" w:rsidRPr="007524F1">
        <w:t xml:space="preserve">объем субсидии МО «Куйтунский район» предусмотрен в сумме </w:t>
      </w:r>
      <w:r w:rsidR="006E1BBA" w:rsidRPr="007524F1">
        <w:rPr>
          <w:b/>
          <w:u w:val="single"/>
        </w:rPr>
        <w:t>24721 тыс. рублей</w:t>
      </w:r>
      <w:r w:rsidR="006E1BBA" w:rsidRPr="007524F1">
        <w:t>. Размер субсидии распределен следующим образом: 1 этап (до 1 января) – 6805</w:t>
      </w:r>
      <w:r w:rsidRPr="007524F1">
        <w:t xml:space="preserve"> </w:t>
      </w:r>
      <w:r w:rsidR="006E1BBA" w:rsidRPr="007524F1">
        <w:t>тыс. рублей, 2 этап (до 1 мая) – 6269</w:t>
      </w:r>
      <w:r w:rsidRPr="007524F1">
        <w:t xml:space="preserve"> </w:t>
      </w:r>
      <w:r w:rsidR="006E1BBA" w:rsidRPr="007524F1">
        <w:t xml:space="preserve">тыс. рублей, 3 этап (до 1 июля) – 6573 тыс. рублей, 4 этап (до 1 октября) – 5074 тыс. рублей (приложение 5 к ДЦП, раздел 5 ДЦП). </w:t>
      </w:r>
    </w:p>
    <w:p w:rsidR="006E1BBA" w:rsidRPr="005C07FA" w:rsidRDefault="006E1BBA" w:rsidP="006E1BBA">
      <w:pPr>
        <w:ind w:right="-1" w:firstLine="540"/>
        <w:jc w:val="both"/>
      </w:pPr>
      <w:r w:rsidRPr="005C07FA">
        <w:t>В ходе проверки установлено, что до ФУА доведен объем ассигнований на реализацию мероприятий областной программы в сумме 24721 тыс. рублей. Министерством финансов Иркутской области, как главным распорядителем средств, субсидия перечислялась частями. Так, в первом квартале 2013 года перечислено субсидии в бюджет района в сумме 3402,5 тыс. руб</w:t>
      </w:r>
      <w:r w:rsidR="009874A4">
        <w:t>лей</w:t>
      </w:r>
      <w:r w:rsidRPr="005C07FA">
        <w:t xml:space="preserve">, во втором квартале перечислено 8730 тыс. </w:t>
      </w:r>
      <w:r w:rsidRPr="005C07FA">
        <w:lastRenderedPageBreak/>
        <w:t xml:space="preserve">рублей, в третьем квартале перечислено 7514,5 тыс. рублей, в четвертом </w:t>
      </w:r>
      <w:r w:rsidR="005C07FA" w:rsidRPr="005C07FA">
        <w:t>–</w:t>
      </w:r>
      <w:r w:rsidRPr="005C07FA">
        <w:t xml:space="preserve"> 5074</w:t>
      </w:r>
      <w:r w:rsidR="005C07FA" w:rsidRPr="005C07FA">
        <w:t xml:space="preserve"> </w:t>
      </w:r>
      <w:r w:rsidRPr="005C07FA">
        <w:t>тыс. рублей. За 2013</w:t>
      </w:r>
      <w:r w:rsidR="005C07FA" w:rsidRPr="005C07FA">
        <w:t xml:space="preserve"> </w:t>
      </w:r>
      <w:r w:rsidRPr="005C07FA">
        <w:t xml:space="preserve">год субсидия поступила в полном объеме, как и планировалось, в сумме </w:t>
      </w:r>
      <w:r w:rsidRPr="005C07FA">
        <w:rPr>
          <w:b/>
        </w:rPr>
        <w:t>24721 тыс.</w:t>
      </w:r>
      <w:r w:rsidR="005C07FA" w:rsidRPr="005C07FA">
        <w:rPr>
          <w:b/>
        </w:rPr>
        <w:t xml:space="preserve"> </w:t>
      </w:r>
      <w:r w:rsidRPr="005C07FA">
        <w:rPr>
          <w:b/>
        </w:rPr>
        <w:t>рублей</w:t>
      </w:r>
      <w:r w:rsidRPr="005C07FA">
        <w:t>.</w:t>
      </w:r>
      <w:r w:rsidR="005C07FA" w:rsidRPr="005C07FA">
        <w:t xml:space="preserve"> </w:t>
      </w:r>
      <w:r w:rsidRPr="005C07FA">
        <w:t>Из общей суммы поступившей субсидии 20%, или 4944,2 тыс. рублей распределены</w:t>
      </w:r>
      <w:r w:rsidR="005C07FA" w:rsidRPr="005C07FA">
        <w:t xml:space="preserve"> </w:t>
      </w:r>
      <w:r w:rsidRPr="005C07FA">
        <w:t>на целевую статью 7954700 «Целевая программа «Повышение эффективности управления муниципальными финансами МО Куйтунский район на 2011-2015 годы»» по подразделу 1403 «Прочие межбюджетные трансферты общего характера»</w:t>
      </w:r>
      <w:r w:rsidR="005C07FA" w:rsidRPr="005C07FA">
        <w:t xml:space="preserve"> </w:t>
      </w:r>
      <w:r w:rsidRPr="005C07FA">
        <w:t>для передачи МБТ бюджетам поселений Куйтунского района в целях реализации аналогичных муниципальных программ. Остальные средства в сумме 19776,8 тыс. руб</w:t>
      </w:r>
      <w:r w:rsidR="005C07FA" w:rsidRPr="005C07FA">
        <w:t>лей</w:t>
      </w:r>
      <w:r w:rsidRPr="005C07FA">
        <w:t xml:space="preserve"> распределены по целевым статьям, предусматривающим расходы на содержание органов власти, учреждений образования и культуры (оплата труда, коммунальные услуги и др.).</w:t>
      </w:r>
    </w:p>
    <w:p w:rsidR="006E1BBA" w:rsidRPr="005C07FA" w:rsidRDefault="006E1BBA" w:rsidP="006E1BBA">
      <w:pPr>
        <w:ind w:right="-1" w:firstLine="540"/>
        <w:jc w:val="both"/>
      </w:pPr>
      <w:r w:rsidRPr="005C07FA">
        <w:t>На 2013 год ведомственной структурой расходов уточненного местного бюджета по целевой статье 7954700 «Целевая программа «Повышение эффективности управления муниципальными финансами МО Куйтунский район на 2011-2015 годы»» также предусмотрены расходы</w:t>
      </w:r>
      <w:r w:rsidR="005C07FA" w:rsidRPr="005C07FA">
        <w:t xml:space="preserve"> </w:t>
      </w:r>
      <w:r w:rsidRPr="005C07FA">
        <w:t>в сумме 530 тыс. руб</w:t>
      </w:r>
      <w:r w:rsidR="005C07FA" w:rsidRPr="005C07FA">
        <w:t>лей</w:t>
      </w:r>
      <w:r w:rsidRPr="005C07FA">
        <w:t xml:space="preserve"> по подразделу 0709 «Другие вопросы в области образования» (ГРБС – Управление Образования).</w:t>
      </w:r>
    </w:p>
    <w:p w:rsidR="006E1BBA" w:rsidRPr="005C07FA" w:rsidRDefault="006E1BBA" w:rsidP="006E1BBA">
      <w:pPr>
        <w:ind w:right="-1" w:firstLine="540"/>
        <w:jc w:val="both"/>
      </w:pPr>
      <w:r w:rsidRPr="005C07FA">
        <w:t>Кассовые расходы составили  100% от утвержденного финансирования в местном бюджете на 2013 год. Денежные средства были направлены на оплату коммунальных услуг образовательных учреждений в сумме 530 тыс. рублей (на оплату эл</w:t>
      </w:r>
      <w:r w:rsidR="005C07FA" w:rsidRPr="005C07FA">
        <w:t xml:space="preserve">ектрической </w:t>
      </w:r>
      <w:r w:rsidRPr="005C07FA">
        <w:t>энергии) и перечислены МБТ поселениям в сумме 4944,2 тыс. руб</w:t>
      </w:r>
      <w:r w:rsidR="005C07FA" w:rsidRPr="005C07FA">
        <w:t>лей</w:t>
      </w:r>
      <w:r w:rsidRPr="005C07FA">
        <w:t>.</w:t>
      </w:r>
    </w:p>
    <w:p w:rsidR="006E1BBA" w:rsidRDefault="006E1BBA" w:rsidP="006E1BBA">
      <w:pPr>
        <w:ind w:right="-1" w:firstLine="540"/>
        <w:jc w:val="both"/>
      </w:pPr>
      <w:r w:rsidRPr="005C07FA">
        <w:t>Сведения о ресурсном обеспечении Программы в 2013 году представлены в таблице</w:t>
      </w:r>
      <w:r w:rsidR="005C07FA" w:rsidRPr="005C07FA">
        <w:t xml:space="preserve"> 3</w:t>
      </w:r>
      <w:r w:rsidRPr="005C07FA">
        <w:t>.</w:t>
      </w:r>
    </w:p>
    <w:p w:rsidR="005C07FA" w:rsidRPr="005C07FA" w:rsidRDefault="005C07FA" w:rsidP="006E1BBA">
      <w:pPr>
        <w:ind w:right="-1" w:firstLine="540"/>
        <w:jc w:val="both"/>
      </w:pPr>
      <w:r>
        <w:t xml:space="preserve">                                                                                                   Таблица 3,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6E1BBA" w:rsidRPr="006E1BBA" w:rsidTr="000126BB">
        <w:tc>
          <w:tcPr>
            <w:tcW w:w="1914" w:type="dxa"/>
            <w:shd w:val="clear" w:color="auto" w:fill="auto"/>
          </w:tcPr>
          <w:p w:rsidR="006E1BBA" w:rsidRPr="005C07FA" w:rsidRDefault="006E1BBA" w:rsidP="005C07FA">
            <w:pPr>
              <w:ind w:right="-1"/>
              <w:jc w:val="center"/>
              <w:rPr>
                <w:sz w:val="20"/>
                <w:szCs w:val="20"/>
              </w:rPr>
            </w:pPr>
            <w:r w:rsidRPr="005C07FA">
              <w:rPr>
                <w:sz w:val="20"/>
                <w:szCs w:val="20"/>
              </w:rPr>
              <w:t>2013 год</w:t>
            </w:r>
          </w:p>
        </w:tc>
        <w:tc>
          <w:tcPr>
            <w:tcW w:w="1914" w:type="dxa"/>
            <w:shd w:val="clear" w:color="auto" w:fill="auto"/>
          </w:tcPr>
          <w:p w:rsidR="006E1BBA" w:rsidRPr="005C07FA" w:rsidRDefault="006E1BBA" w:rsidP="005C07FA">
            <w:pPr>
              <w:ind w:right="-1"/>
              <w:jc w:val="center"/>
              <w:rPr>
                <w:sz w:val="20"/>
                <w:szCs w:val="20"/>
              </w:rPr>
            </w:pPr>
            <w:r w:rsidRPr="005C07FA">
              <w:rPr>
                <w:sz w:val="20"/>
                <w:szCs w:val="20"/>
              </w:rPr>
              <w:t>Утверждено паспортом</w:t>
            </w:r>
          </w:p>
        </w:tc>
        <w:tc>
          <w:tcPr>
            <w:tcW w:w="1914" w:type="dxa"/>
            <w:shd w:val="clear" w:color="auto" w:fill="auto"/>
          </w:tcPr>
          <w:p w:rsidR="006E1BBA" w:rsidRPr="005C07FA" w:rsidRDefault="006E1BBA" w:rsidP="005C07FA">
            <w:pPr>
              <w:ind w:right="-1"/>
              <w:jc w:val="center"/>
              <w:rPr>
                <w:sz w:val="20"/>
                <w:szCs w:val="20"/>
              </w:rPr>
            </w:pPr>
            <w:r w:rsidRPr="005C07FA">
              <w:rPr>
                <w:sz w:val="20"/>
                <w:szCs w:val="20"/>
              </w:rPr>
              <w:t>Утверждено бюджетом</w:t>
            </w:r>
          </w:p>
        </w:tc>
        <w:tc>
          <w:tcPr>
            <w:tcW w:w="1914" w:type="dxa"/>
            <w:shd w:val="clear" w:color="auto" w:fill="auto"/>
          </w:tcPr>
          <w:p w:rsidR="006E1BBA" w:rsidRPr="005C07FA" w:rsidRDefault="006E1BBA" w:rsidP="005C07FA">
            <w:pPr>
              <w:ind w:right="-1"/>
              <w:jc w:val="center"/>
              <w:rPr>
                <w:sz w:val="20"/>
                <w:szCs w:val="20"/>
              </w:rPr>
            </w:pPr>
            <w:r w:rsidRPr="005C07FA">
              <w:rPr>
                <w:sz w:val="20"/>
                <w:szCs w:val="20"/>
              </w:rPr>
              <w:t>Фактическое исполнение</w:t>
            </w:r>
          </w:p>
        </w:tc>
        <w:tc>
          <w:tcPr>
            <w:tcW w:w="1914" w:type="dxa"/>
            <w:shd w:val="clear" w:color="auto" w:fill="auto"/>
          </w:tcPr>
          <w:p w:rsidR="006E1BBA" w:rsidRPr="005C07FA" w:rsidRDefault="006E1BBA" w:rsidP="005C07FA">
            <w:pPr>
              <w:ind w:right="-1"/>
              <w:jc w:val="center"/>
              <w:rPr>
                <w:sz w:val="20"/>
                <w:szCs w:val="20"/>
              </w:rPr>
            </w:pPr>
            <w:r w:rsidRPr="005C07FA">
              <w:rPr>
                <w:sz w:val="20"/>
                <w:szCs w:val="20"/>
              </w:rPr>
              <w:t>% исполнения</w:t>
            </w:r>
            <w:r w:rsidR="005C07FA" w:rsidRPr="005C07FA">
              <w:rPr>
                <w:sz w:val="20"/>
                <w:szCs w:val="20"/>
              </w:rPr>
              <w:t xml:space="preserve"> </w:t>
            </w:r>
            <w:r w:rsidRPr="005C07FA">
              <w:rPr>
                <w:sz w:val="20"/>
                <w:szCs w:val="20"/>
              </w:rPr>
              <w:t>от утвержденного бюджетом</w:t>
            </w:r>
          </w:p>
        </w:tc>
      </w:tr>
      <w:tr w:rsidR="006E1BBA" w:rsidRPr="006E1BBA" w:rsidTr="000126BB">
        <w:tc>
          <w:tcPr>
            <w:tcW w:w="1914" w:type="dxa"/>
            <w:shd w:val="clear" w:color="auto" w:fill="auto"/>
          </w:tcPr>
          <w:p w:rsidR="006E1BBA" w:rsidRPr="004468BD" w:rsidRDefault="006E1BBA" w:rsidP="000126BB">
            <w:pPr>
              <w:ind w:right="-1"/>
              <w:jc w:val="both"/>
              <w:rPr>
                <w:sz w:val="20"/>
                <w:szCs w:val="20"/>
              </w:rPr>
            </w:pPr>
            <w:r w:rsidRPr="004468BD">
              <w:rPr>
                <w:sz w:val="20"/>
                <w:szCs w:val="20"/>
              </w:rPr>
              <w:t>за счет областной субсидии, из них:</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24721</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24721</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24721</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100</w:t>
            </w:r>
          </w:p>
        </w:tc>
      </w:tr>
      <w:tr w:rsidR="006E1BBA" w:rsidRPr="006E1BBA" w:rsidTr="000126BB">
        <w:tc>
          <w:tcPr>
            <w:tcW w:w="1914" w:type="dxa"/>
            <w:shd w:val="clear" w:color="auto" w:fill="auto"/>
          </w:tcPr>
          <w:p w:rsidR="006E1BBA" w:rsidRPr="004468BD" w:rsidRDefault="006E1BBA" w:rsidP="000126BB">
            <w:pPr>
              <w:ind w:right="-1"/>
              <w:jc w:val="both"/>
              <w:rPr>
                <w:i/>
                <w:sz w:val="20"/>
                <w:szCs w:val="20"/>
              </w:rPr>
            </w:pPr>
            <w:r w:rsidRPr="004468BD">
              <w:rPr>
                <w:i/>
                <w:sz w:val="20"/>
                <w:szCs w:val="20"/>
              </w:rPr>
              <w:t>в бюджеты поселений</w:t>
            </w:r>
          </w:p>
        </w:tc>
        <w:tc>
          <w:tcPr>
            <w:tcW w:w="1914" w:type="dxa"/>
            <w:shd w:val="clear" w:color="auto" w:fill="auto"/>
          </w:tcPr>
          <w:p w:rsidR="006E1BBA" w:rsidRPr="004468BD" w:rsidRDefault="006E1BBA" w:rsidP="000126BB">
            <w:pPr>
              <w:ind w:right="-1"/>
              <w:jc w:val="center"/>
              <w:rPr>
                <w:i/>
                <w:sz w:val="22"/>
                <w:szCs w:val="22"/>
              </w:rPr>
            </w:pPr>
            <w:r w:rsidRPr="004468BD">
              <w:rPr>
                <w:i/>
                <w:sz w:val="22"/>
                <w:szCs w:val="22"/>
              </w:rPr>
              <w:t>4944,2</w:t>
            </w:r>
          </w:p>
        </w:tc>
        <w:tc>
          <w:tcPr>
            <w:tcW w:w="1914" w:type="dxa"/>
            <w:shd w:val="clear" w:color="auto" w:fill="auto"/>
          </w:tcPr>
          <w:p w:rsidR="006E1BBA" w:rsidRPr="004468BD" w:rsidRDefault="006E1BBA" w:rsidP="000126BB">
            <w:pPr>
              <w:ind w:right="-1"/>
              <w:jc w:val="center"/>
              <w:rPr>
                <w:i/>
                <w:sz w:val="22"/>
                <w:szCs w:val="22"/>
              </w:rPr>
            </w:pPr>
            <w:r w:rsidRPr="004468BD">
              <w:rPr>
                <w:i/>
                <w:sz w:val="22"/>
                <w:szCs w:val="22"/>
              </w:rPr>
              <w:t>4944,2</w:t>
            </w:r>
          </w:p>
        </w:tc>
        <w:tc>
          <w:tcPr>
            <w:tcW w:w="1914" w:type="dxa"/>
            <w:shd w:val="clear" w:color="auto" w:fill="auto"/>
          </w:tcPr>
          <w:p w:rsidR="006E1BBA" w:rsidRPr="004468BD" w:rsidRDefault="006E1BBA" w:rsidP="000126BB">
            <w:pPr>
              <w:ind w:right="-1"/>
              <w:jc w:val="center"/>
              <w:rPr>
                <w:i/>
                <w:sz w:val="22"/>
                <w:szCs w:val="22"/>
              </w:rPr>
            </w:pPr>
            <w:r w:rsidRPr="004468BD">
              <w:rPr>
                <w:i/>
                <w:sz w:val="22"/>
                <w:szCs w:val="22"/>
              </w:rPr>
              <w:t>4944,2</w:t>
            </w:r>
          </w:p>
        </w:tc>
        <w:tc>
          <w:tcPr>
            <w:tcW w:w="1914" w:type="dxa"/>
            <w:shd w:val="clear" w:color="auto" w:fill="auto"/>
          </w:tcPr>
          <w:p w:rsidR="006E1BBA" w:rsidRPr="004468BD" w:rsidRDefault="006E1BBA" w:rsidP="000126BB">
            <w:pPr>
              <w:ind w:right="-1"/>
              <w:jc w:val="center"/>
              <w:rPr>
                <w:i/>
                <w:sz w:val="22"/>
                <w:szCs w:val="22"/>
              </w:rPr>
            </w:pPr>
            <w:r w:rsidRPr="004468BD">
              <w:rPr>
                <w:i/>
                <w:sz w:val="22"/>
                <w:szCs w:val="22"/>
              </w:rPr>
              <w:t>100</w:t>
            </w:r>
          </w:p>
        </w:tc>
      </w:tr>
      <w:tr w:rsidR="006E1BBA" w:rsidRPr="006E1BBA" w:rsidTr="000126BB">
        <w:tc>
          <w:tcPr>
            <w:tcW w:w="1914" w:type="dxa"/>
            <w:shd w:val="clear" w:color="auto" w:fill="auto"/>
          </w:tcPr>
          <w:p w:rsidR="006E1BBA" w:rsidRPr="004468BD" w:rsidRDefault="006E1BBA" w:rsidP="000126BB">
            <w:pPr>
              <w:ind w:right="-1"/>
              <w:jc w:val="both"/>
              <w:rPr>
                <w:sz w:val="20"/>
                <w:szCs w:val="20"/>
              </w:rPr>
            </w:pPr>
            <w:r w:rsidRPr="004468BD">
              <w:rPr>
                <w:sz w:val="20"/>
                <w:szCs w:val="20"/>
              </w:rPr>
              <w:t>местные средства</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1767</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530</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530</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100</w:t>
            </w:r>
          </w:p>
        </w:tc>
      </w:tr>
      <w:tr w:rsidR="006E1BBA" w:rsidRPr="006E1BBA" w:rsidTr="000126BB">
        <w:tc>
          <w:tcPr>
            <w:tcW w:w="1914" w:type="dxa"/>
            <w:shd w:val="clear" w:color="auto" w:fill="auto"/>
          </w:tcPr>
          <w:p w:rsidR="006E1BBA" w:rsidRPr="004468BD" w:rsidRDefault="006E1BBA" w:rsidP="004468BD">
            <w:pPr>
              <w:ind w:right="-1"/>
              <w:jc w:val="center"/>
              <w:rPr>
                <w:sz w:val="20"/>
                <w:szCs w:val="20"/>
              </w:rPr>
            </w:pPr>
            <w:r w:rsidRPr="004468BD">
              <w:rPr>
                <w:sz w:val="20"/>
                <w:szCs w:val="20"/>
              </w:rPr>
              <w:t>Итого</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26488</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25251</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25251</w:t>
            </w:r>
          </w:p>
        </w:tc>
        <w:tc>
          <w:tcPr>
            <w:tcW w:w="1914" w:type="dxa"/>
            <w:shd w:val="clear" w:color="auto" w:fill="auto"/>
          </w:tcPr>
          <w:p w:rsidR="006E1BBA" w:rsidRPr="004468BD" w:rsidRDefault="006E1BBA" w:rsidP="000126BB">
            <w:pPr>
              <w:ind w:right="-1"/>
              <w:jc w:val="center"/>
              <w:rPr>
                <w:sz w:val="22"/>
                <w:szCs w:val="22"/>
              </w:rPr>
            </w:pPr>
            <w:r w:rsidRPr="004468BD">
              <w:rPr>
                <w:sz w:val="22"/>
                <w:szCs w:val="22"/>
              </w:rPr>
              <w:t>100</w:t>
            </w:r>
          </w:p>
        </w:tc>
      </w:tr>
    </w:tbl>
    <w:p w:rsidR="00465C1B" w:rsidRDefault="00465C1B" w:rsidP="006E1BBA">
      <w:pPr>
        <w:ind w:right="-1" w:firstLine="540"/>
        <w:jc w:val="both"/>
        <w:rPr>
          <w:highlight w:val="yellow"/>
        </w:rPr>
      </w:pPr>
    </w:p>
    <w:p w:rsidR="006E1BBA" w:rsidRPr="006E1BBA" w:rsidRDefault="006E1BBA" w:rsidP="006E1BBA">
      <w:pPr>
        <w:ind w:right="-1" w:firstLine="540"/>
        <w:jc w:val="both"/>
        <w:rPr>
          <w:highlight w:val="yellow"/>
        </w:rPr>
      </w:pPr>
      <w:r w:rsidRPr="00465C1B">
        <w:t xml:space="preserve">Как видно из таблицы, решением о бюджете предусмотрены бюджетные ассигнования  на выполнение мероприятий по Программе за счет средств районного бюджета в сумме 530 </w:t>
      </w:r>
      <w:r w:rsidR="00465C1B" w:rsidRPr="00465C1B">
        <w:t>тыс. рублей</w:t>
      </w:r>
      <w:r w:rsidRPr="00465C1B">
        <w:t xml:space="preserve">, или 30% от потребности (530:1767), указанной в Программе. </w:t>
      </w:r>
      <w:r w:rsidRPr="00A4354F">
        <w:t xml:space="preserve">Данный факт свидетельствует </w:t>
      </w:r>
      <w:r w:rsidRPr="00A4354F">
        <w:rPr>
          <w:b/>
        </w:rPr>
        <w:t>о нарушении п.</w:t>
      </w:r>
      <w:r w:rsidR="00465C1B" w:rsidRPr="00A4354F">
        <w:rPr>
          <w:b/>
        </w:rPr>
        <w:t xml:space="preserve"> </w:t>
      </w:r>
      <w:r w:rsidRPr="00A4354F">
        <w:rPr>
          <w:b/>
        </w:rPr>
        <w:t>2 ст. 179 БК РФ</w:t>
      </w:r>
      <w:r w:rsidR="00465C1B" w:rsidRPr="00A4354F">
        <w:rPr>
          <w:b/>
        </w:rPr>
        <w:t xml:space="preserve"> и </w:t>
      </w:r>
      <w:r w:rsidR="00465C1B">
        <w:rPr>
          <w:b/>
        </w:rPr>
        <w:t xml:space="preserve">п. </w:t>
      </w:r>
      <w:r w:rsidR="00A4354F">
        <w:rPr>
          <w:b/>
        </w:rPr>
        <w:t>4.2</w:t>
      </w:r>
      <w:r w:rsidR="00465C1B">
        <w:rPr>
          <w:b/>
        </w:rPr>
        <w:t xml:space="preserve"> </w:t>
      </w:r>
      <w:r w:rsidR="00465C1B" w:rsidRPr="009C128A">
        <w:rPr>
          <w:b/>
        </w:rPr>
        <w:t>Порядка разработки и реализации долгосрочных целевых программ МО Куйтунский район</w:t>
      </w:r>
      <w:r w:rsidR="00465C1B">
        <w:t>, утвержденного постановлением администрации от 23.06.2010г. № 486</w:t>
      </w:r>
      <w:r w:rsidRPr="00A4354F">
        <w:t>, предусматривающего, что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 утвердившим программу</w:t>
      </w:r>
      <w:r w:rsidR="00A4354F" w:rsidRPr="00A4354F">
        <w:t xml:space="preserve"> </w:t>
      </w:r>
      <w:r w:rsidR="00A4354F">
        <w:t>(пункт 1.2.2 Классификатора нарушений)</w:t>
      </w:r>
      <w:r w:rsidRPr="00A4354F">
        <w:t>.</w:t>
      </w:r>
    </w:p>
    <w:p w:rsidR="006E1BBA" w:rsidRPr="006E1BBA" w:rsidRDefault="00EB6FF7" w:rsidP="006E1BBA">
      <w:pPr>
        <w:ind w:right="-1" w:firstLine="540"/>
        <w:jc w:val="both"/>
        <w:rPr>
          <w:highlight w:val="yellow"/>
        </w:rPr>
      </w:pPr>
      <w:r w:rsidRPr="00EB6FF7">
        <w:t xml:space="preserve">3.3 </w:t>
      </w:r>
      <w:r w:rsidR="006E1BBA" w:rsidRPr="00EB6FF7">
        <w:t>Постановлением Правительства Иркутской области от 24 октября 2013 № 448-пп утверждена государственная программа «Совершенствование механизмов управления экономическим развитием» на 2014-2018 годы, в состав которой включена подпрограмма «Повышение эффективности бюджетных расходов в Иркутской области» на 2014-2018 годы. В сравнении с действовавшей Программой Иркутской области в 2012 и 2013</w:t>
      </w:r>
      <w:r w:rsidRPr="00EB6FF7">
        <w:t xml:space="preserve"> </w:t>
      </w:r>
      <w:r w:rsidR="006E1BBA" w:rsidRPr="00EB6FF7">
        <w:t>годах в новой Подпрограмме изменились условия предоставления субсидии. В 2014 и 2015 годах субсидия муниципальным районам предоставляется при соблюдении следующих условий:</w:t>
      </w:r>
    </w:p>
    <w:p w:rsidR="006E1BBA" w:rsidRPr="00EB6FF7" w:rsidRDefault="006E1BBA" w:rsidP="006E1BBA">
      <w:pPr>
        <w:ind w:right="-1" w:firstLine="540"/>
        <w:jc w:val="both"/>
      </w:pPr>
      <w:r w:rsidRPr="00EB6FF7">
        <w:t>1) соблюдение в соответствующих бюджетах предельных значений, установленных п.</w:t>
      </w:r>
      <w:r w:rsidR="00EB6FF7" w:rsidRPr="00EB6FF7">
        <w:t xml:space="preserve"> </w:t>
      </w:r>
      <w:r w:rsidRPr="00EB6FF7">
        <w:t>3 ст. 92.1 БК РФ (дефицит бюджета);</w:t>
      </w:r>
    </w:p>
    <w:p w:rsidR="006E1BBA" w:rsidRPr="00EB6FF7" w:rsidRDefault="006E1BBA" w:rsidP="006E1BBA">
      <w:pPr>
        <w:ind w:right="-1" w:firstLine="540"/>
        <w:jc w:val="both"/>
      </w:pPr>
      <w:r w:rsidRPr="00EB6FF7">
        <w:t xml:space="preserve">2) отсутствие просроченной кредиторской задолженности бюджета муниципального района по выплате  денежного содержания главе, муниципальным служащим, </w:t>
      </w:r>
      <w:r w:rsidRPr="00EB6FF7">
        <w:lastRenderedPageBreak/>
        <w:t>техническому и вспомогательному персоналу органов местного самоуправления, работникам муниципальных учреждений и пособий по социальной помощи населению;</w:t>
      </w:r>
    </w:p>
    <w:p w:rsidR="006E1BBA" w:rsidRPr="00EB6FF7" w:rsidRDefault="006E1BBA" w:rsidP="006E1BBA">
      <w:pPr>
        <w:ind w:right="-1" w:firstLine="540"/>
        <w:jc w:val="both"/>
      </w:pPr>
      <w:r w:rsidRPr="00EB6FF7">
        <w:t>3) отсутствие прироста просроченной кредиторской задолженности по начислениям на оплату труда работников муниципальных учреждений;</w:t>
      </w:r>
    </w:p>
    <w:p w:rsidR="006E1BBA" w:rsidRPr="00EB6FF7" w:rsidRDefault="006E1BBA" w:rsidP="006E1BBA">
      <w:pPr>
        <w:ind w:right="-1" w:firstLine="540"/>
        <w:jc w:val="both"/>
      </w:pPr>
      <w:r w:rsidRPr="00EB6FF7">
        <w:t>4) отсутствие прироста просроченной кредиторской задолженности по коммунальным услугам муниципальных учреждений;</w:t>
      </w:r>
    </w:p>
    <w:p w:rsidR="006E1BBA" w:rsidRPr="00EB6FF7" w:rsidRDefault="006E1BBA" w:rsidP="006E1BBA">
      <w:pPr>
        <w:ind w:right="-1" w:firstLine="540"/>
        <w:jc w:val="both"/>
      </w:pPr>
      <w:r w:rsidRPr="00EB6FF7">
        <w:t>5) отсутствие задолженности по уплате ежемесячных обязательных платежей по страховым взносам на обязательное пенсионное страхование, обязательное медицинское страхование;</w:t>
      </w:r>
    </w:p>
    <w:p w:rsidR="006E1BBA" w:rsidRPr="00EB6FF7" w:rsidRDefault="006E1BBA" w:rsidP="006E1BBA">
      <w:pPr>
        <w:ind w:right="-1" w:firstLine="540"/>
        <w:jc w:val="both"/>
      </w:pPr>
      <w:r w:rsidRPr="00EB6FF7">
        <w:t>6) наличие «дорожных карт» по повышению эффективности и качества услуг в сфере образования и культуры;</w:t>
      </w:r>
    </w:p>
    <w:p w:rsidR="006E1BBA" w:rsidRPr="00EB6FF7" w:rsidRDefault="006E1BBA" w:rsidP="006E1BBA">
      <w:pPr>
        <w:ind w:right="-1" w:firstLine="540"/>
        <w:jc w:val="both"/>
      </w:pPr>
      <w:r w:rsidRPr="00EB6FF7">
        <w:t>7) обеспечение доведения заработной платы до уровня, определенного «дорожными картами» (проверка данного условия осуществляется с 1 апреля 2015 года);</w:t>
      </w:r>
    </w:p>
    <w:p w:rsidR="006E1BBA" w:rsidRPr="00EB6FF7" w:rsidRDefault="006E1BBA" w:rsidP="006E1BBA">
      <w:pPr>
        <w:ind w:right="-1" w:firstLine="540"/>
        <w:jc w:val="both"/>
      </w:pPr>
      <w:r w:rsidRPr="00EB6FF7">
        <w:t>8) ежемесячное предоставление бюджетам городских и сельских поселений, входящих в состав муниципального района, дотаций на выравнивание бюджетной обеспеченности поселений из районного фонда финансовой поддержки поселений.</w:t>
      </w:r>
    </w:p>
    <w:p w:rsidR="006E1BBA" w:rsidRPr="009264B1" w:rsidRDefault="006E1BBA" w:rsidP="006E1BBA">
      <w:pPr>
        <w:ind w:right="-1" w:firstLine="540"/>
        <w:jc w:val="both"/>
      </w:pPr>
      <w:r w:rsidRPr="009264B1">
        <w:t xml:space="preserve">Указанной Подпрограммой (в ред. от 23.12.2014) </w:t>
      </w:r>
      <w:r w:rsidRPr="009264B1">
        <w:rPr>
          <w:b/>
          <w:u w:val="single"/>
        </w:rPr>
        <w:t>на 2014</w:t>
      </w:r>
      <w:r w:rsidR="009264B1" w:rsidRPr="009264B1">
        <w:rPr>
          <w:b/>
          <w:u w:val="single"/>
        </w:rPr>
        <w:t xml:space="preserve"> </w:t>
      </w:r>
      <w:r w:rsidRPr="009264B1">
        <w:rPr>
          <w:b/>
          <w:u w:val="single"/>
        </w:rPr>
        <w:t>год</w:t>
      </w:r>
      <w:r w:rsidRPr="009264B1">
        <w:t xml:space="preserve"> объем субсидии МО «Куйтунский район» предусмотрен в сумме </w:t>
      </w:r>
      <w:r w:rsidRPr="009264B1">
        <w:rPr>
          <w:b/>
          <w:u w:val="single"/>
        </w:rPr>
        <w:t>21710,6 тыс. рублей</w:t>
      </w:r>
      <w:r w:rsidRPr="009264B1">
        <w:t>. Размер субсидии распределен следующим образом: 1 этап (до 1 января) – 6984,1</w:t>
      </w:r>
      <w:r w:rsidR="009264B1">
        <w:t xml:space="preserve"> </w:t>
      </w:r>
      <w:r w:rsidRPr="009264B1">
        <w:t>тыс. рублей, 2 этап (до 1 мая) – 4120,9</w:t>
      </w:r>
      <w:r w:rsidR="009264B1" w:rsidRPr="009264B1">
        <w:t xml:space="preserve"> </w:t>
      </w:r>
      <w:r w:rsidRPr="009264B1">
        <w:t xml:space="preserve">тыс. рублей, 3 этап (до 1 июля) – 4715,6 тыс. рублей, 4 этап (до 1 октября) – 5890 тыс. рублей (приложение 2 к </w:t>
      </w:r>
      <w:r w:rsidR="009264B1" w:rsidRPr="009264B1">
        <w:t>государственной программе</w:t>
      </w:r>
      <w:r w:rsidRPr="009264B1">
        <w:t>, раздел 7</w:t>
      </w:r>
      <w:r w:rsidR="009264B1" w:rsidRPr="009264B1">
        <w:t xml:space="preserve"> государственной программы</w:t>
      </w:r>
      <w:r w:rsidRPr="009264B1">
        <w:t xml:space="preserve">). </w:t>
      </w:r>
    </w:p>
    <w:p w:rsidR="006E1BBA" w:rsidRPr="009264B1" w:rsidRDefault="006E1BBA" w:rsidP="006E1BBA">
      <w:pPr>
        <w:ind w:right="-1" w:firstLine="540"/>
        <w:jc w:val="both"/>
      </w:pPr>
      <w:r w:rsidRPr="009264B1">
        <w:t>В ходе проверки установлено, что до ФУА доведен объем ассигнований на реализацию мероприятий Программы в сумме 21710,6 тыс. рублей. Министерством финансов Иркутской области, как главным распорядителем средств, субсидия перечислялась частями. Так, в первом квартале 2014 года перечислено субсидии в бюджет района в сумме 3492</w:t>
      </w:r>
      <w:r w:rsidR="009264B1" w:rsidRPr="009264B1">
        <w:t xml:space="preserve"> </w:t>
      </w:r>
      <w:r w:rsidRPr="009264B1">
        <w:t>тыс. руб</w:t>
      </w:r>
      <w:r w:rsidR="009874A4">
        <w:t>лей</w:t>
      </w:r>
      <w:r w:rsidRPr="009264B1">
        <w:t>, во втором квартале перечислено 4866,1</w:t>
      </w:r>
      <w:r w:rsidR="009264B1" w:rsidRPr="009264B1">
        <w:t xml:space="preserve"> </w:t>
      </w:r>
      <w:r w:rsidRPr="009264B1">
        <w:t>тыс. рублей, и остатки субсидии перечислены в третьем квартале 13352,5 тыс. рублей. За 2014</w:t>
      </w:r>
      <w:r w:rsidR="009264B1" w:rsidRPr="009264B1">
        <w:t xml:space="preserve"> </w:t>
      </w:r>
      <w:r w:rsidRPr="009264B1">
        <w:t xml:space="preserve">год субсидия поступила в полном объеме, как и планировалось, в сумме </w:t>
      </w:r>
      <w:r w:rsidRPr="009264B1">
        <w:rPr>
          <w:b/>
        </w:rPr>
        <w:t>21710,6 тыс. рублей</w:t>
      </w:r>
      <w:r w:rsidRPr="009264B1">
        <w:t>.</w:t>
      </w:r>
      <w:r w:rsidR="009264B1" w:rsidRPr="009264B1">
        <w:t xml:space="preserve"> </w:t>
      </w:r>
      <w:r w:rsidRPr="009264B1">
        <w:t>Поступившие средства распределены по целевым статьям, предусматривающим расходы на содержание органов власти, учреждений образования и культуры (оплата труда, коммунальные услуги и др.).</w:t>
      </w:r>
    </w:p>
    <w:p w:rsidR="00FD43F2" w:rsidRPr="00FD43F2" w:rsidRDefault="006E1BBA" w:rsidP="006E1BBA">
      <w:pPr>
        <w:ind w:right="-1" w:firstLine="540"/>
        <w:jc w:val="both"/>
        <w:rPr>
          <w:i/>
        </w:rPr>
      </w:pPr>
      <w:r w:rsidRPr="0083228E">
        <w:t>Согласно п.</w:t>
      </w:r>
      <w:r w:rsidR="0083228E" w:rsidRPr="0083228E">
        <w:t xml:space="preserve"> </w:t>
      </w:r>
      <w:r w:rsidRPr="0083228E">
        <w:t xml:space="preserve">8 раздела 7 </w:t>
      </w:r>
      <w:r w:rsidR="0083228E" w:rsidRPr="0083228E">
        <w:t>государственной</w:t>
      </w:r>
      <w:r w:rsidRPr="0083228E">
        <w:t xml:space="preserve"> Подпрограммы «Повышение эффективности бюджетных расходов в Иркутской области» на 2014-2018 годы в 2014 году одним из условий предоставления субсидии муниципальному району из областного бюджета является ежемесячное предоставление бюджетам городских и сельских поселений, входящих в состав соответствующего муниципального района, дотаций на выравнивание бюджетной обеспеченности поселений из районного фонда финансовой поддержки поселений. Согласно отчету об исполнении районного бюджета за 2014 год направлено в бюджеты поселений указанных дотаций из фонда финансовой поддержки 12849 тыс. руб</w:t>
      </w:r>
      <w:r w:rsidR="0083228E" w:rsidRPr="0083228E">
        <w:t>лей</w:t>
      </w:r>
      <w:r w:rsidR="0083228E" w:rsidRPr="00FD43F2">
        <w:t>.</w:t>
      </w:r>
      <w:r w:rsidRPr="00FD43F2">
        <w:t xml:space="preserve"> В связи с данным нововведением </w:t>
      </w:r>
      <w:r w:rsidRPr="00FD43F2">
        <w:rPr>
          <w:b/>
        </w:rPr>
        <w:t xml:space="preserve">следовало исключить из муниципальной программы следующую формулировку: </w:t>
      </w:r>
      <w:r w:rsidRPr="00FD43F2">
        <w:rPr>
          <w:i/>
        </w:rPr>
        <w:t>«20% поступивших межбюджетных трансфертов из областного бюджета распределяются муниципальным образованиям Куйтунского района».</w:t>
      </w:r>
      <w:r w:rsidR="00FD43F2" w:rsidRPr="00FD43F2">
        <w:rPr>
          <w:i/>
        </w:rPr>
        <w:t xml:space="preserve"> </w:t>
      </w:r>
      <w:r w:rsidRPr="00FD43F2">
        <w:rPr>
          <w:b/>
        </w:rPr>
        <w:t>Также следовало исключить суммовые показатели</w:t>
      </w:r>
      <w:r w:rsidRPr="00FD43F2">
        <w:t xml:space="preserve">  по о</w:t>
      </w:r>
      <w:r w:rsidRPr="00FD43F2">
        <w:rPr>
          <w:i/>
        </w:rPr>
        <w:t>бъемам субсидии, передаваемой поселениям в рамках программы  на 2014 год в сумме 4342 тыс. руб</w:t>
      </w:r>
      <w:r w:rsidR="00FD43F2" w:rsidRPr="00FD43F2">
        <w:rPr>
          <w:i/>
        </w:rPr>
        <w:t>лей</w:t>
      </w:r>
      <w:r w:rsidRPr="00FD43F2">
        <w:rPr>
          <w:i/>
        </w:rPr>
        <w:t>, на 2015 год – 3000 тыс. руб</w:t>
      </w:r>
      <w:r w:rsidR="00FD43F2" w:rsidRPr="00FD43F2">
        <w:rPr>
          <w:i/>
        </w:rPr>
        <w:t>лей</w:t>
      </w:r>
      <w:r w:rsidRPr="00FD43F2">
        <w:rPr>
          <w:i/>
        </w:rPr>
        <w:t>.</w:t>
      </w:r>
    </w:p>
    <w:p w:rsidR="006E1BBA" w:rsidRPr="00FD43F2" w:rsidRDefault="006E1BBA" w:rsidP="006E1BBA">
      <w:pPr>
        <w:ind w:right="-1" w:firstLine="540"/>
        <w:jc w:val="both"/>
      </w:pPr>
      <w:r w:rsidRPr="00FD43F2">
        <w:t xml:space="preserve">Однако, </w:t>
      </w:r>
      <w:r w:rsidRPr="00FD43F2">
        <w:rPr>
          <w:b/>
        </w:rPr>
        <w:t>изменения в муниципальную программу не внесены</w:t>
      </w:r>
      <w:r w:rsidRPr="00FD43F2">
        <w:t>. МБТ поселениям в рамках муниципальной программы в 2014 году не предоставлялись.</w:t>
      </w:r>
      <w:r w:rsidR="00FD43F2" w:rsidRPr="00FD43F2">
        <w:t xml:space="preserve"> </w:t>
      </w:r>
      <w:r w:rsidRPr="00FD43F2">
        <w:rPr>
          <w:b/>
        </w:rPr>
        <w:t>Не внесены изменения в план мероприятий Программы,</w:t>
      </w:r>
      <w:r w:rsidRPr="00FD43F2">
        <w:t xml:space="preserve"> где одним из мероприятий является «внедрение в муниципальных учреждениях здравоохранения программы «1С: Зарплата и кадры. Медицинская настройка», ответственный исполнитель – МУЗ КЦРБ. С 01.01.2013г. КЦРБ приобрела статус областного учреждения, а  муниципальная собственность МО Куйтунский район, используемая МБУЗ КЦРБ на праве оперативного управления,   с 2013г.  передана в государственную собственность Иркутской области.</w:t>
      </w:r>
    </w:p>
    <w:p w:rsidR="006E1BBA" w:rsidRPr="0011388A" w:rsidRDefault="006E1BBA" w:rsidP="006E1BBA">
      <w:pPr>
        <w:ind w:right="-1" w:firstLine="540"/>
        <w:jc w:val="both"/>
      </w:pPr>
      <w:r w:rsidRPr="0011388A">
        <w:lastRenderedPageBreak/>
        <w:t>На 2014 год ведомственной структурой расходов уточненного местного бюджета по целевой статье 7082047 «Целевая программа «Повышение эффективности управления муниципальными финансами МО Куйтунский район на 2011-2015 годы»» предусмотрены расходы в сумме 830 тыс. руб</w:t>
      </w:r>
      <w:r w:rsidR="0011388A" w:rsidRPr="0011388A">
        <w:t>лей</w:t>
      </w:r>
      <w:r w:rsidRPr="0011388A">
        <w:t xml:space="preserve"> по подразделу 0701 «Дошкольное образование» (ГРБС – Управление Образования).</w:t>
      </w:r>
    </w:p>
    <w:p w:rsidR="006E1BBA" w:rsidRPr="0011388A" w:rsidRDefault="006E1BBA" w:rsidP="006E1BBA">
      <w:pPr>
        <w:ind w:right="-1" w:firstLine="540"/>
        <w:jc w:val="both"/>
      </w:pPr>
      <w:r w:rsidRPr="0011388A">
        <w:t>Кассовые расходы составили  99,8% от утвержденного финансирования в местном бюджете на 2014 год, или 828,7</w:t>
      </w:r>
      <w:r w:rsidR="009874A4" w:rsidRPr="0011388A">
        <w:t xml:space="preserve"> </w:t>
      </w:r>
      <w:r w:rsidRPr="0011388A">
        <w:t>тыс. руб</w:t>
      </w:r>
      <w:r w:rsidR="0011388A" w:rsidRPr="0011388A">
        <w:t>лей</w:t>
      </w:r>
      <w:r w:rsidRPr="0011388A">
        <w:t>. Денежные средства были направлены на оплату коммунальных услуг дошкольных образовательных учреждений (на оплату эл</w:t>
      </w:r>
      <w:r w:rsidR="0011388A" w:rsidRPr="0011388A">
        <w:t xml:space="preserve">ектрической </w:t>
      </w:r>
      <w:r w:rsidRPr="0011388A">
        <w:t>энергии).</w:t>
      </w:r>
    </w:p>
    <w:p w:rsidR="006E1BBA" w:rsidRDefault="006E1BBA" w:rsidP="006E1BBA">
      <w:pPr>
        <w:ind w:right="-1" w:firstLine="540"/>
        <w:jc w:val="both"/>
      </w:pPr>
      <w:r w:rsidRPr="0011388A">
        <w:t>Сведения о ресурсном обеспечении Программы в 2014 году представлены в таблице</w:t>
      </w:r>
      <w:r w:rsidR="0011388A" w:rsidRPr="0011388A">
        <w:t xml:space="preserve"> 4</w:t>
      </w:r>
      <w:r w:rsidRPr="0011388A">
        <w:t>.</w:t>
      </w:r>
    </w:p>
    <w:p w:rsidR="0011388A" w:rsidRPr="0011388A" w:rsidRDefault="0011388A" w:rsidP="0011388A">
      <w:pPr>
        <w:ind w:right="-1" w:firstLine="540"/>
        <w:jc w:val="right"/>
      </w:pPr>
      <w:r>
        <w:t>Таблица 4,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6E1BBA" w:rsidRPr="006E1BBA" w:rsidTr="000126BB">
        <w:tc>
          <w:tcPr>
            <w:tcW w:w="1914" w:type="dxa"/>
            <w:shd w:val="clear" w:color="auto" w:fill="auto"/>
          </w:tcPr>
          <w:p w:rsidR="006E1BBA" w:rsidRPr="0011388A" w:rsidRDefault="006E1BBA" w:rsidP="0011388A">
            <w:pPr>
              <w:ind w:right="-1"/>
              <w:jc w:val="center"/>
              <w:rPr>
                <w:sz w:val="20"/>
                <w:szCs w:val="20"/>
              </w:rPr>
            </w:pPr>
            <w:r w:rsidRPr="0011388A">
              <w:rPr>
                <w:sz w:val="20"/>
                <w:szCs w:val="20"/>
              </w:rPr>
              <w:t>2014 год</w:t>
            </w:r>
          </w:p>
        </w:tc>
        <w:tc>
          <w:tcPr>
            <w:tcW w:w="1914" w:type="dxa"/>
            <w:shd w:val="clear" w:color="auto" w:fill="auto"/>
          </w:tcPr>
          <w:p w:rsidR="006E1BBA" w:rsidRPr="0011388A" w:rsidRDefault="006E1BBA" w:rsidP="0011388A">
            <w:pPr>
              <w:ind w:right="-1"/>
              <w:jc w:val="center"/>
              <w:rPr>
                <w:sz w:val="20"/>
                <w:szCs w:val="20"/>
              </w:rPr>
            </w:pPr>
            <w:r w:rsidRPr="0011388A">
              <w:rPr>
                <w:sz w:val="20"/>
                <w:szCs w:val="20"/>
              </w:rPr>
              <w:t>Утверждено паспортом</w:t>
            </w:r>
          </w:p>
        </w:tc>
        <w:tc>
          <w:tcPr>
            <w:tcW w:w="1914" w:type="dxa"/>
            <w:shd w:val="clear" w:color="auto" w:fill="auto"/>
          </w:tcPr>
          <w:p w:rsidR="006E1BBA" w:rsidRPr="0011388A" w:rsidRDefault="006E1BBA" w:rsidP="0011388A">
            <w:pPr>
              <w:ind w:right="-1"/>
              <w:jc w:val="center"/>
              <w:rPr>
                <w:sz w:val="20"/>
                <w:szCs w:val="20"/>
              </w:rPr>
            </w:pPr>
            <w:r w:rsidRPr="0011388A">
              <w:rPr>
                <w:sz w:val="20"/>
                <w:szCs w:val="20"/>
              </w:rPr>
              <w:t>Утверждено бюджетом</w:t>
            </w:r>
          </w:p>
        </w:tc>
        <w:tc>
          <w:tcPr>
            <w:tcW w:w="1914" w:type="dxa"/>
            <w:shd w:val="clear" w:color="auto" w:fill="auto"/>
          </w:tcPr>
          <w:p w:rsidR="006E1BBA" w:rsidRPr="0011388A" w:rsidRDefault="006E1BBA" w:rsidP="0011388A">
            <w:pPr>
              <w:ind w:right="-1"/>
              <w:jc w:val="center"/>
              <w:rPr>
                <w:sz w:val="20"/>
                <w:szCs w:val="20"/>
              </w:rPr>
            </w:pPr>
            <w:r w:rsidRPr="0011388A">
              <w:rPr>
                <w:sz w:val="20"/>
                <w:szCs w:val="20"/>
              </w:rPr>
              <w:t>Фактическое исполнение</w:t>
            </w:r>
          </w:p>
        </w:tc>
        <w:tc>
          <w:tcPr>
            <w:tcW w:w="1914" w:type="dxa"/>
            <w:shd w:val="clear" w:color="auto" w:fill="auto"/>
          </w:tcPr>
          <w:p w:rsidR="006E1BBA" w:rsidRPr="0011388A" w:rsidRDefault="006E1BBA" w:rsidP="0011388A">
            <w:pPr>
              <w:ind w:right="-1"/>
              <w:jc w:val="center"/>
              <w:rPr>
                <w:sz w:val="20"/>
                <w:szCs w:val="20"/>
              </w:rPr>
            </w:pPr>
            <w:r w:rsidRPr="0011388A">
              <w:rPr>
                <w:sz w:val="20"/>
                <w:szCs w:val="20"/>
              </w:rPr>
              <w:t>% исполнения</w:t>
            </w:r>
            <w:r w:rsidR="0011388A" w:rsidRPr="0011388A">
              <w:rPr>
                <w:sz w:val="20"/>
                <w:szCs w:val="20"/>
              </w:rPr>
              <w:t xml:space="preserve"> </w:t>
            </w:r>
            <w:r w:rsidRPr="0011388A">
              <w:rPr>
                <w:sz w:val="20"/>
                <w:szCs w:val="20"/>
              </w:rPr>
              <w:t>от утвержденного бюджетом</w:t>
            </w:r>
          </w:p>
        </w:tc>
      </w:tr>
      <w:tr w:rsidR="006E1BBA" w:rsidRPr="006E1BBA" w:rsidTr="000126BB">
        <w:tc>
          <w:tcPr>
            <w:tcW w:w="1914" w:type="dxa"/>
            <w:shd w:val="clear" w:color="auto" w:fill="auto"/>
          </w:tcPr>
          <w:p w:rsidR="006E1BBA" w:rsidRPr="0011388A" w:rsidRDefault="006E1BBA" w:rsidP="0011388A">
            <w:pPr>
              <w:ind w:right="-1"/>
              <w:jc w:val="center"/>
              <w:rPr>
                <w:sz w:val="20"/>
                <w:szCs w:val="20"/>
              </w:rPr>
            </w:pPr>
            <w:r w:rsidRPr="0011388A">
              <w:rPr>
                <w:sz w:val="20"/>
                <w:szCs w:val="20"/>
              </w:rPr>
              <w:t>за счет областной субсидии</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21710,6</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21710,6</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21710,6</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100</w:t>
            </w:r>
          </w:p>
        </w:tc>
      </w:tr>
      <w:tr w:rsidR="006E1BBA" w:rsidRPr="006E1BBA" w:rsidTr="000126BB">
        <w:tc>
          <w:tcPr>
            <w:tcW w:w="1914" w:type="dxa"/>
            <w:shd w:val="clear" w:color="auto" w:fill="auto"/>
          </w:tcPr>
          <w:p w:rsidR="006E1BBA" w:rsidRPr="0011388A" w:rsidRDefault="006E1BBA" w:rsidP="0011388A">
            <w:pPr>
              <w:ind w:right="-1"/>
              <w:jc w:val="center"/>
              <w:rPr>
                <w:sz w:val="20"/>
                <w:szCs w:val="20"/>
              </w:rPr>
            </w:pPr>
            <w:r w:rsidRPr="0011388A">
              <w:rPr>
                <w:sz w:val="20"/>
                <w:szCs w:val="20"/>
              </w:rPr>
              <w:t>местные средства</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1767</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830</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828,7</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99,8</w:t>
            </w:r>
          </w:p>
        </w:tc>
      </w:tr>
      <w:tr w:rsidR="006E1BBA" w:rsidRPr="006E1BBA" w:rsidTr="000126BB">
        <w:tc>
          <w:tcPr>
            <w:tcW w:w="1914" w:type="dxa"/>
            <w:shd w:val="clear" w:color="auto" w:fill="auto"/>
          </w:tcPr>
          <w:p w:rsidR="006E1BBA" w:rsidRPr="0011388A" w:rsidRDefault="006E1BBA" w:rsidP="0011388A">
            <w:pPr>
              <w:ind w:right="-1"/>
              <w:jc w:val="center"/>
              <w:rPr>
                <w:sz w:val="20"/>
                <w:szCs w:val="20"/>
              </w:rPr>
            </w:pPr>
            <w:r w:rsidRPr="0011388A">
              <w:rPr>
                <w:sz w:val="20"/>
                <w:szCs w:val="20"/>
              </w:rPr>
              <w:t>Итого</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23477,6</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22540,6</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22539,3</w:t>
            </w:r>
          </w:p>
        </w:tc>
        <w:tc>
          <w:tcPr>
            <w:tcW w:w="1914" w:type="dxa"/>
            <w:shd w:val="clear" w:color="auto" w:fill="auto"/>
          </w:tcPr>
          <w:p w:rsidR="006E1BBA" w:rsidRPr="0011388A" w:rsidRDefault="006E1BBA" w:rsidP="000126BB">
            <w:pPr>
              <w:ind w:right="-1"/>
              <w:jc w:val="center"/>
              <w:rPr>
                <w:sz w:val="22"/>
                <w:szCs w:val="22"/>
              </w:rPr>
            </w:pPr>
            <w:r w:rsidRPr="0011388A">
              <w:rPr>
                <w:sz w:val="22"/>
                <w:szCs w:val="22"/>
              </w:rPr>
              <w:t>100</w:t>
            </w:r>
          </w:p>
        </w:tc>
      </w:tr>
    </w:tbl>
    <w:p w:rsidR="0011388A" w:rsidRDefault="0011388A" w:rsidP="006E1BBA">
      <w:pPr>
        <w:ind w:right="-1" w:firstLine="540"/>
        <w:jc w:val="both"/>
        <w:rPr>
          <w:highlight w:val="yellow"/>
        </w:rPr>
      </w:pPr>
    </w:p>
    <w:p w:rsidR="0011388A" w:rsidRPr="006E1BBA" w:rsidRDefault="006E1BBA" w:rsidP="0011388A">
      <w:pPr>
        <w:ind w:right="-1" w:firstLine="540"/>
        <w:jc w:val="both"/>
        <w:rPr>
          <w:highlight w:val="yellow"/>
        </w:rPr>
      </w:pPr>
      <w:r w:rsidRPr="0011388A">
        <w:t>Как видно из таблицы, решением о бюджете предусмотрены бюджетные ассигнования  на выполнение мероприятий по Программе за счет средств районного бюджета в сумме 830 тыс. руб</w:t>
      </w:r>
      <w:r w:rsidR="0011388A" w:rsidRPr="0011388A">
        <w:t>лей</w:t>
      </w:r>
      <w:r w:rsidRPr="0011388A">
        <w:t xml:space="preserve">, или 47% от потребности (830:1767), указанной в Программе. </w:t>
      </w:r>
      <w:r w:rsidR="0011388A" w:rsidRPr="00A4354F">
        <w:t xml:space="preserve">Данный факт свидетельствует </w:t>
      </w:r>
      <w:r w:rsidR="0011388A" w:rsidRPr="00A4354F">
        <w:rPr>
          <w:b/>
        </w:rPr>
        <w:t xml:space="preserve">о нарушении п. 2 ст. 179 БК РФ и </w:t>
      </w:r>
      <w:r w:rsidR="0011388A">
        <w:rPr>
          <w:b/>
        </w:rPr>
        <w:t xml:space="preserve">п. </w:t>
      </w:r>
      <w:r w:rsidR="00FF28BA">
        <w:rPr>
          <w:b/>
        </w:rPr>
        <w:t>3.5</w:t>
      </w:r>
      <w:r w:rsidR="0011388A">
        <w:rPr>
          <w:b/>
        </w:rPr>
        <w:t xml:space="preserve"> </w:t>
      </w:r>
      <w:r w:rsidR="0011388A" w:rsidRPr="009C128A">
        <w:rPr>
          <w:b/>
        </w:rPr>
        <w:t xml:space="preserve">Порядка </w:t>
      </w:r>
      <w:r w:rsidR="0011388A" w:rsidRPr="0011388A">
        <w:rPr>
          <w:b/>
        </w:rPr>
        <w:t xml:space="preserve">разработки, реализации и оценки эффективности реализации муниципальных программ </w:t>
      </w:r>
      <w:r w:rsidR="0011388A">
        <w:rPr>
          <w:b/>
        </w:rPr>
        <w:t>МО</w:t>
      </w:r>
      <w:r w:rsidR="0011388A" w:rsidRPr="0011388A">
        <w:rPr>
          <w:b/>
        </w:rPr>
        <w:t xml:space="preserve"> Куйтунский район</w:t>
      </w:r>
      <w:r w:rsidR="0011388A">
        <w:t>, утвержденного постановлением администрации от 18.04.2014г. № 265-п</w:t>
      </w:r>
      <w:r w:rsidR="0011388A" w:rsidRPr="00A4354F">
        <w:t xml:space="preserve">, предусматривающего, что объем бюджетных ассигнований на реализацию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 утвердившим программу </w:t>
      </w:r>
      <w:r w:rsidR="0011388A">
        <w:t>(пункт 1.2.2 Классификатора нарушений)</w:t>
      </w:r>
      <w:r w:rsidR="0011388A" w:rsidRPr="00A4354F">
        <w:t>.</w:t>
      </w:r>
    </w:p>
    <w:p w:rsidR="006E1BBA" w:rsidRPr="005F61E4" w:rsidRDefault="00B15714" w:rsidP="006E1BBA">
      <w:pPr>
        <w:ind w:right="-1" w:firstLine="540"/>
        <w:jc w:val="both"/>
      </w:pPr>
      <w:r w:rsidRPr="00B15714">
        <w:t xml:space="preserve">3.4 </w:t>
      </w:r>
      <w:r w:rsidR="006E1BBA" w:rsidRPr="00B15714">
        <w:t>На 2015</w:t>
      </w:r>
      <w:r w:rsidRPr="00B15714">
        <w:t xml:space="preserve"> </w:t>
      </w:r>
      <w:r w:rsidR="006E1BBA" w:rsidRPr="00B15714">
        <w:t>год областной Подпрограммой «Повышение эффективности бюджетных расходов в Иркутской области» на 2015-2017 годы объемы финансирования не установлены, но разделом 4 определено, что бюджетные ассигнования будут уточняться ежегодно при составлении областного бюджета на очередной финансовый год и плановый период.</w:t>
      </w:r>
      <w:r w:rsidRPr="00B15714">
        <w:t xml:space="preserve"> </w:t>
      </w:r>
      <w:r w:rsidR="006E1BBA" w:rsidRPr="00650116">
        <w:t>В реализации Подпрограммы могут принять участие все муниципальные образования Иркутской области,</w:t>
      </w:r>
      <w:r w:rsidR="00650116" w:rsidRPr="00650116">
        <w:t xml:space="preserve"> </w:t>
      </w:r>
      <w:r w:rsidR="006E1BBA" w:rsidRPr="00650116">
        <w:rPr>
          <w:u w:val="single"/>
        </w:rPr>
        <w:t>в том числе городские и сельские поселения</w:t>
      </w:r>
      <w:r w:rsidR="006E1BBA" w:rsidRPr="00650116">
        <w:t xml:space="preserve">, при соблюдении условий, определенных паспортом Подпрограммы (условия описаны выше по тексту и в 2015 году не изменились). Распределение субсидий между муниципальными образованиями Иркутской области осуществляется в соответствии с приложением к подпрограмме в 4 этапа: до 1 января по итогам </w:t>
      </w:r>
      <w:r w:rsidR="006E1BBA" w:rsidRPr="00650116">
        <w:rPr>
          <w:lang w:val="en-US"/>
        </w:rPr>
        <w:t>III</w:t>
      </w:r>
      <w:r w:rsidR="006E1BBA" w:rsidRPr="00650116">
        <w:t xml:space="preserve"> квартала предшествующего года, до 1 мая</w:t>
      </w:r>
      <w:r w:rsidR="00650116" w:rsidRPr="00650116">
        <w:t xml:space="preserve"> </w:t>
      </w:r>
      <w:r w:rsidR="006E1BBA" w:rsidRPr="00650116">
        <w:t>по итогам I</w:t>
      </w:r>
      <w:r w:rsidR="006E1BBA" w:rsidRPr="00650116">
        <w:rPr>
          <w:lang w:val="en-US"/>
        </w:rPr>
        <w:t>V</w:t>
      </w:r>
      <w:r w:rsidR="006E1BBA" w:rsidRPr="00650116">
        <w:t xml:space="preserve"> квартала предшествующего года, до 1 июля по итогам I квартала соответствующего года, до 1 октября по итогам II квартала соответствующего года. Размер субсидии на каждом этапе определяется в зависимости от численности населения. Так, для муниципальных районов, численность населения в которых более или равна  25 тыс. чел. и менее 50 тыс. чел. размер субсидии </w:t>
      </w:r>
      <w:r w:rsidR="006E1BBA" w:rsidRPr="00650116">
        <w:rPr>
          <w:u w:val="single"/>
        </w:rPr>
        <w:t>составляет 5000 тыс. руб</w:t>
      </w:r>
      <w:r w:rsidR="005F61E4">
        <w:rPr>
          <w:u w:val="single"/>
        </w:rPr>
        <w:t>лей</w:t>
      </w:r>
      <w:r w:rsidR="006E1BBA" w:rsidRPr="00650116">
        <w:rPr>
          <w:u w:val="single"/>
        </w:rPr>
        <w:t xml:space="preserve"> на каждом этапе</w:t>
      </w:r>
      <w:r w:rsidR="006E1BBA" w:rsidRPr="00650116">
        <w:t xml:space="preserve"> реализации </w:t>
      </w:r>
      <w:r w:rsidR="006E1BBA" w:rsidRPr="005F61E4">
        <w:t>Подпрограммы (численность населения в Куйтунском районе на 01.01.2015г. – 29,5 тыс. чел.).</w:t>
      </w:r>
    </w:p>
    <w:p w:rsidR="006E1BBA" w:rsidRPr="005F61E4" w:rsidRDefault="006E1BBA" w:rsidP="006E1BBA">
      <w:pPr>
        <w:ind w:right="-1" w:firstLine="540"/>
        <w:jc w:val="both"/>
      </w:pPr>
      <w:r w:rsidRPr="005F61E4">
        <w:t>Постановлением Правительства Иркутской области от 19.03.2015 № 85-пп «О внесении изменений в подпрограмму «Повышение эффективности бюджетных расходов в Иркутской области» на 2015-2017 годы» объем субсидии на 2015</w:t>
      </w:r>
      <w:r w:rsidR="005F61E4" w:rsidRPr="005F61E4">
        <w:t xml:space="preserve"> </w:t>
      </w:r>
      <w:r w:rsidRPr="005F61E4">
        <w:t xml:space="preserve">год для МО «Куйтунский район» распределен в сумме 5000 тыс. рублей на 2 этап областной подпрограммы (по итогам </w:t>
      </w:r>
      <w:r w:rsidRPr="005F61E4">
        <w:rPr>
          <w:lang w:val="en-US"/>
        </w:rPr>
        <w:t>IV</w:t>
      </w:r>
      <w:r w:rsidRPr="005F61E4">
        <w:t xml:space="preserve"> квартала 2014 года).</w:t>
      </w:r>
      <w:r w:rsidR="005F61E4" w:rsidRPr="005F61E4">
        <w:t xml:space="preserve"> </w:t>
      </w:r>
      <w:r w:rsidRPr="005F61E4">
        <w:t>В течение 2015</w:t>
      </w:r>
      <w:r w:rsidR="005F61E4" w:rsidRPr="005F61E4">
        <w:t xml:space="preserve"> </w:t>
      </w:r>
      <w:r w:rsidRPr="005F61E4">
        <w:t xml:space="preserve">года субсидия Куйтунскому району в рамках областной подпрограммы была распределена только один раз, так как на остальных этапах реализации Подпрограммы муниципальный район не соответствовал критериям отбора для предоставления субсидии (имелась просроченная </w:t>
      </w:r>
      <w:r w:rsidRPr="005F61E4">
        <w:lastRenderedPageBreak/>
        <w:t>кредиторская задолженность), в связи</w:t>
      </w:r>
      <w:r w:rsidR="005F61E4" w:rsidRPr="005F61E4">
        <w:t>,</w:t>
      </w:r>
      <w:r w:rsidRPr="005F61E4">
        <w:t xml:space="preserve"> с чем недополучено в районный бюджет 15000</w:t>
      </w:r>
      <w:r w:rsidR="005F61E4" w:rsidRPr="005F61E4">
        <w:t xml:space="preserve"> </w:t>
      </w:r>
      <w:r w:rsidRPr="005F61E4">
        <w:t>тыс. руб</w:t>
      </w:r>
      <w:r w:rsidR="005F61E4" w:rsidRPr="005F61E4">
        <w:t>лей</w:t>
      </w:r>
      <w:r w:rsidRPr="005F61E4">
        <w:t xml:space="preserve">. </w:t>
      </w:r>
    </w:p>
    <w:p w:rsidR="006E1BBA" w:rsidRPr="005F61E4" w:rsidRDefault="006E1BBA" w:rsidP="006E1BBA">
      <w:pPr>
        <w:ind w:right="-1" w:firstLine="540"/>
        <w:jc w:val="both"/>
      </w:pPr>
      <w:r w:rsidRPr="005F61E4">
        <w:t>Уведомлением об уточненных бюджетных ассигнованиях областного бюджета от 08.04.2015 до ФУА доведен объем ассигнований на реализацию мероприятий Программы в сумме 5000 тыс. рублей. Часть субсидии в сумме 3334</w:t>
      </w:r>
      <w:r w:rsidR="005F61E4" w:rsidRPr="005F61E4">
        <w:t xml:space="preserve"> </w:t>
      </w:r>
      <w:r w:rsidRPr="005F61E4">
        <w:t>тыс. руб</w:t>
      </w:r>
      <w:r w:rsidR="005F61E4" w:rsidRPr="005F61E4">
        <w:t>лей</w:t>
      </w:r>
      <w:r w:rsidRPr="005F61E4">
        <w:t xml:space="preserve"> поступила в бюджет района 27.05.15</w:t>
      </w:r>
      <w:r w:rsidR="005F61E4" w:rsidRPr="005F61E4">
        <w:t>г.</w:t>
      </w:r>
      <w:r w:rsidRPr="005F61E4">
        <w:t>, остальная часть в сумме 1666 тыс. руб</w:t>
      </w:r>
      <w:r w:rsidR="005F61E4" w:rsidRPr="005F61E4">
        <w:t>лей</w:t>
      </w:r>
      <w:r w:rsidRPr="005F61E4">
        <w:t xml:space="preserve"> 27.10.2015г.</w:t>
      </w:r>
    </w:p>
    <w:p w:rsidR="006E1BBA" w:rsidRPr="005F61E4" w:rsidRDefault="006E1BBA" w:rsidP="006E1BBA">
      <w:pPr>
        <w:ind w:right="-1" w:firstLine="540"/>
        <w:jc w:val="both"/>
      </w:pPr>
      <w:r w:rsidRPr="005F61E4">
        <w:t>Поступившие средства распределены по целевым статьям, предусматривающим расходы на содержание органов власти, учреждений образования и культуры (оплата труда, коммунальные услуги и др.).</w:t>
      </w:r>
    </w:p>
    <w:p w:rsidR="006E1BBA" w:rsidRPr="005F61E4" w:rsidRDefault="006E1BBA" w:rsidP="006E1BBA">
      <w:pPr>
        <w:ind w:right="-1" w:firstLine="540"/>
        <w:jc w:val="both"/>
      </w:pPr>
      <w:r w:rsidRPr="005F61E4">
        <w:t>На 2015 год ведомственной структурой расходов уточненного местного бюджета по целевой статье 7082047 «Целевая программа «Повышение эффективности управления муниципальными финансами МО Куйтунский район на 2011-2015 годы»» предусмотрены расходы в сумме 1767 тыс. руб</w:t>
      </w:r>
      <w:r w:rsidR="005F61E4" w:rsidRPr="005F61E4">
        <w:t>лей</w:t>
      </w:r>
      <w:r w:rsidRPr="005F61E4">
        <w:t xml:space="preserve"> по подразделу 0709 «Другие вопросы в области образования» (ГРБС – Управление Образования).</w:t>
      </w:r>
    </w:p>
    <w:p w:rsidR="006E1BBA" w:rsidRPr="005F61E4" w:rsidRDefault="006E1BBA" w:rsidP="006E1BBA">
      <w:pPr>
        <w:ind w:right="-1" w:firstLine="540"/>
        <w:jc w:val="both"/>
      </w:pPr>
      <w:r w:rsidRPr="005F61E4">
        <w:t>Кассовые расходы составили  99,2% от утвержденного финансирования в местном бюджете на 2015 год, или 1753,2</w:t>
      </w:r>
      <w:r w:rsidR="005F61E4" w:rsidRPr="005F61E4">
        <w:t xml:space="preserve"> </w:t>
      </w:r>
      <w:r w:rsidRPr="005F61E4">
        <w:t>тыс. руб</w:t>
      </w:r>
      <w:r w:rsidR="005F61E4" w:rsidRPr="005F61E4">
        <w:t>лей</w:t>
      </w:r>
      <w:r w:rsidRPr="005F61E4">
        <w:t>. Денежные средства были направлены на оплату коммунальных услуг образовательных учреждений (из них на оплату эл</w:t>
      </w:r>
      <w:r w:rsidR="005F61E4" w:rsidRPr="005F61E4">
        <w:t xml:space="preserve">ектрической </w:t>
      </w:r>
      <w:r w:rsidRPr="005F61E4">
        <w:t>энергии – 1543 тыс. руб</w:t>
      </w:r>
      <w:r w:rsidR="005F61E4" w:rsidRPr="005F61E4">
        <w:t>лей</w:t>
      </w:r>
      <w:r w:rsidRPr="005F61E4">
        <w:t>, отопления – 189 тыс. руб</w:t>
      </w:r>
      <w:r w:rsidR="005F61E4" w:rsidRPr="005F61E4">
        <w:t>лей</w:t>
      </w:r>
      <w:r w:rsidRPr="005F61E4">
        <w:t>, водоснабжения – 21,2</w:t>
      </w:r>
      <w:r w:rsidR="005F61E4" w:rsidRPr="005F61E4">
        <w:t xml:space="preserve"> </w:t>
      </w:r>
      <w:r w:rsidRPr="005F61E4">
        <w:t>тыс. руб</w:t>
      </w:r>
      <w:r w:rsidR="005F61E4" w:rsidRPr="005F61E4">
        <w:t>лей</w:t>
      </w:r>
      <w:r w:rsidRPr="005F61E4">
        <w:t>).</w:t>
      </w:r>
    </w:p>
    <w:p w:rsidR="006E1BBA" w:rsidRDefault="006E1BBA" w:rsidP="006E1BBA">
      <w:pPr>
        <w:ind w:right="-1" w:firstLine="540"/>
        <w:jc w:val="both"/>
      </w:pPr>
      <w:r w:rsidRPr="005F61E4">
        <w:t>Сведения о ресурсном обеспечении Программы в 2015 году представлены в таблице</w:t>
      </w:r>
      <w:r w:rsidR="005F61E4" w:rsidRPr="005F61E4">
        <w:t xml:space="preserve"> 5</w:t>
      </w:r>
      <w:r w:rsidRPr="005F61E4">
        <w:t>.</w:t>
      </w:r>
    </w:p>
    <w:p w:rsidR="005F61E4" w:rsidRPr="005F61E4" w:rsidRDefault="005F61E4" w:rsidP="005F61E4">
      <w:pPr>
        <w:ind w:right="-1" w:firstLine="540"/>
        <w:jc w:val="right"/>
      </w:pPr>
      <w:r>
        <w:t>Таблица 5,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6E1BBA" w:rsidRPr="006E1BBA" w:rsidTr="000126BB">
        <w:tc>
          <w:tcPr>
            <w:tcW w:w="1914" w:type="dxa"/>
            <w:shd w:val="clear" w:color="auto" w:fill="auto"/>
          </w:tcPr>
          <w:p w:rsidR="006E1BBA" w:rsidRPr="005F61E4" w:rsidRDefault="006E1BBA" w:rsidP="005F61E4">
            <w:pPr>
              <w:ind w:right="-1"/>
              <w:jc w:val="center"/>
              <w:rPr>
                <w:sz w:val="20"/>
                <w:szCs w:val="20"/>
              </w:rPr>
            </w:pPr>
            <w:r w:rsidRPr="005F61E4">
              <w:rPr>
                <w:sz w:val="20"/>
                <w:szCs w:val="20"/>
              </w:rPr>
              <w:t>2015</w:t>
            </w:r>
            <w:r w:rsidR="005F61E4" w:rsidRPr="005F61E4">
              <w:rPr>
                <w:sz w:val="20"/>
                <w:szCs w:val="20"/>
              </w:rPr>
              <w:t xml:space="preserve"> </w:t>
            </w:r>
            <w:r w:rsidRPr="005F61E4">
              <w:rPr>
                <w:sz w:val="20"/>
                <w:szCs w:val="20"/>
              </w:rPr>
              <w:t>год</w:t>
            </w:r>
          </w:p>
        </w:tc>
        <w:tc>
          <w:tcPr>
            <w:tcW w:w="1914" w:type="dxa"/>
            <w:shd w:val="clear" w:color="auto" w:fill="auto"/>
          </w:tcPr>
          <w:p w:rsidR="006E1BBA" w:rsidRPr="005F61E4" w:rsidRDefault="006E1BBA" w:rsidP="005F61E4">
            <w:pPr>
              <w:ind w:right="-1"/>
              <w:jc w:val="center"/>
              <w:rPr>
                <w:sz w:val="20"/>
                <w:szCs w:val="20"/>
              </w:rPr>
            </w:pPr>
            <w:r w:rsidRPr="005F61E4">
              <w:rPr>
                <w:sz w:val="20"/>
                <w:szCs w:val="20"/>
              </w:rPr>
              <w:t>Утверждено паспортом</w:t>
            </w:r>
          </w:p>
        </w:tc>
        <w:tc>
          <w:tcPr>
            <w:tcW w:w="1914" w:type="dxa"/>
            <w:shd w:val="clear" w:color="auto" w:fill="auto"/>
          </w:tcPr>
          <w:p w:rsidR="006E1BBA" w:rsidRPr="005F61E4" w:rsidRDefault="006E1BBA" w:rsidP="005F61E4">
            <w:pPr>
              <w:ind w:right="-1"/>
              <w:jc w:val="center"/>
              <w:rPr>
                <w:sz w:val="20"/>
                <w:szCs w:val="20"/>
              </w:rPr>
            </w:pPr>
            <w:r w:rsidRPr="005F61E4">
              <w:rPr>
                <w:sz w:val="20"/>
                <w:szCs w:val="20"/>
              </w:rPr>
              <w:t>Утверждено бюджетом</w:t>
            </w:r>
          </w:p>
        </w:tc>
        <w:tc>
          <w:tcPr>
            <w:tcW w:w="1914" w:type="dxa"/>
            <w:shd w:val="clear" w:color="auto" w:fill="auto"/>
          </w:tcPr>
          <w:p w:rsidR="006E1BBA" w:rsidRPr="005F61E4" w:rsidRDefault="006E1BBA" w:rsidP="005F61E4">
            <w:pPr>
              <w:ind w:right="-1"/>
              <w:jc w:val="center"/>
              <w:rPr>
                <w:sz w:val="20"/>
                <w:szCs w:val="20"/>
              </w:rPr>
            </w:pPr>
            <w:r w:rsidRPr="005F61E4">
              <w:rPr>
                <w:sz w:val="20"/>
                <w:szCs w:val="20"/>
              </w:rPr>
              <w:t>Фактическое исполнение</w:t>
            </w:r>
          </w:p>
        </w:tc>
        <w:tc>
          <w:tcPr>
            <w:tcW w:w="1914" w:type="dxa"/>
            <w:shd w:val="clear" w:color="auto" w:fill="auto"/>
          </w:tcPr>
          <w:p w:rsidR="006E1BBA" w:rsidRPr="005F61E4" w:rsidRDefault="006E1BBA" w:rsidP="005F61E4">
            <w:pPr>
              <w:ind w:right="-1"/>
              <w:jc w:val="center"/>
              <w:rPr>
                <w:sz w:val="20"/>
                <w:szCs w:val="20"/>
              </w:rPr>
            </w:pPr>
            <w:r w:rsidRPr="005F61E4">
              <w:rPr>
                <w:sz w:val="20"/>
                <w:szCs w:val="20"/>
              </w:rPr>
              <w:t>% исполнения</w:t>
            </w:r>
            <w:r w:rsidR="005F61E4" w:rsidRPr="005F61E4">
              <w:rPr>
                <w:sz w:val="20"/>
                <w:szCs w:val="20"/>
              </w:rPr>
              <w:t xml:space="preserve"> </w:t>
            </w:r>
            <w:r w:rsidRPr="005F61E4">
              <w:rPr>
                <w:sz w:val="20"/>
                <w:szCs w:val="20"/>
              </w:rPr>
              <w:t>от утвержденного бюджетом</w:t>
            </w:r>
          </w:p>
        </w:tc>
      </w:tr>
      <w:tr w:rsidR="006E1BBA" w:rsidRPr="006E1BBA" w:rsidTr="000126BB">
        <w:tc>
          <w:tcPr>
            <w:tcW w:w="1914" w:type="dxa"/>
            <w:shd w:val="clear" w:color="auto" w:fill="auto"/>
          </w:tcPr>
          <w:p w:rsidR="006E1BBA" w:rsidRPr="005F61E4" w:rsidRDefault="006E1BBA" w:rsidP="000126BB">
            <w:pPr>
              <w:ind w:right="-1"/>
              <w:jc w:val="both"/>
              <w:rPr>
                <w:sz w:val="20"/>
                <w:szCs w:val="20"/>
              </w:rPr>
            </w:pPr>
            <w:r w:rsidRPr="005F61E4">
              <w:rPr>
                <w:sz w:val="20"/>
                <w:szCs w:val="20"/>
              </w:rPr>
              <w:t xml:space="preserve">за счет областной субсидии </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27000</w:t>
            </w:r>
          </w:p>
        </w:tc>
        <w:tc>
          <w:tcPr>
            <w:tcW w:w="1914" w:type="dxa"/>
            <w:shd w:val="clear" w:color="auto" w:fill="auto"/>
          </w:tcPr>
          <w:p w:rsidR="006E1BBA" w:rsidRPr="005F61E4" w:rsidRDefault="006E1BBA" w:rsidP="005F61E4">
            <w:pPr>
              <w:ind w:right="-1"/>
              <w:jc w:val="center"/>
              <w:rPr>
                <w:sz w:val="22"/>
                <w:szCs w:val="22"/>
              </w:rPr>
            </w:pPr>
            <w:r w:rsidRPr="005F61E4">
              <w:rPr>
                <w:sz w:val="22"/>
                <w:szCs w:val="22"/>
              </w:rPr>
              <w:t>5000</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5000</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100</w:t>
            </w:r>
          </w:p>
        </w:tc>
      </w:tr>
      <w:tr w:rsidR="006E1BBA" w:rsidRPr="006E1BBA" w:rsidTr="000126BB">
        <w:tc>
          <w:tcPr>
            <w:tcW w:w="1914" w:type="dxa"/>
            <w:shd w:val="clear" w:color="auto" w:fill="auto"/>
          </w:tcPr>
          <w:p w:rsidR="006E1BBA" w:rsidRPr="005F61E4" w:rsidRDefault="006E1BBA" w:rsidP="000126BB">
            <w:pPr>
              <w:ind w:right="-1"/>
              <w:jc w:val="both"/>
              <w:rPr>
                <w:sz w:val="20"/>
                <w:szCs w:val="20"/>
              </w:rPr>
            </w:pPr>
            <w:r w:rsidRPr="005F61E4">
              <w:rPr>
                <w:sz w:val="20"/>
                <w:szCs w:val="20"/>
              </w:rPr>
              <w:t>местные средства</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1767</w:t>
            </w:r>
          </w:p>
        </w:tc>
        <w:tc>
          <w:tcPr>
            <w:tcW w:w="1914" w:type="dxa"/>
            <w:shd w:val="clear" w:color="auto" w:fill="auto"/>
          </w:tcPr>
          <w:p w:rsidR="006E1BBA" w:rsidRPr="005F61E4" w:rsidRDefault="006E1BBA" w:rsidP="005F61E4">
            <w:pPr>
              <w:ind w:right="-1"/>
              <w:jc w:val="center"/>
              <w:rPr>
                <w:sz w:val="22"/>
                <w:szCs w:val="22"/>
              </w:rPr>
            </w:pPr>
            <w:r w:rsidRPr="005F61E4">
              <w:rPr>
                <w:sz w:val="22"/>
                <w:szCs w:val="22"/>
              </w:rPr>
              <w:t>1767</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1753,2</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99,2</w:t>
            </w:r>
          </w:p>
        </w:tc>
      </w:tr>
      <w:tr w:rsidR="006E1BBA" w:rsidRPr="006E1BBA" w:rsidTr="000126BB">
        <w:tc>
          <w:tcPr>
            <w:tcW w:w="1914" w:type="dxa"/>
            <w:shd w:val="clear" w:color="auto" w:fill="auto"/>
          </w:tcPr>
          <w:p w:rsidR="006E1BBA" w:rsidRPr="005F61E4" w:rsidRDefault="006E1BBA" w:rsidP="005F61E4">
            <w:pPr>
              <w:ind w:right="-1"/>
              <w:jc w:val="center"/>
              <w:rPr>
                <w:sz w:val="20"/>
                <w:szCs w:val="20"/>
              </w:rPr>
            </w:pPr>
            <w:r w:rsidRPr="005F61E4">
              <w:rPr>
                <w:sz w:val="20"/>
                <w:szCs w:val="20"/>
              </w:rPr>
              <w:t>Итого</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28767</w:t>
            </w:r>
          </w:p>
        </w:tc>
        <w:tc>
          <w:tcPr>
            <w:tcW w:w="1914" w:type="dxa"/>
            <w:shd w:val="clear" w:color="auto" w:fill="auto"/>
          </w:tcPr>
          <w:p w:rsidR="006E1BBA" w:rsidRPr="005F61E4" w:rsidRDefault="006E1BBA" w:rsidP="005F61E4">
            <w:pPr>
              <w:ind w:right="-1"/>
              <w:jc w:val="center"/>
              <w:rPr>
                <w:sz w:val="22"/>
                <w:szCs w:val="22"/>
              </w:rPr>
            </w:pPr>
            <w:r w:rsidRPr="005F61E4">
              <w:rPr>
                <w:sz w:val="22"/>
                <w:szCs w:val="22"/>
              </w:rPr>
              <w:t>6767</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6753,2</w:t>
            </w:r>
          </w:p>
        </w:tc>
        <w:tc>
          <w:tcPr>
            <w:tcW w:w="1914" w:type="dxa"/>
            <w:shd w:val="clear" w:color="auto" w:fill="auto"/>
          </w:tcPr>
          <w:p w:rsidR="006E1BBA" w:rsidRPr="005F61E4" w:rsidRDefault="006E1BBA" w:rsidP="000126BB">
            <w:pPr>
              <w:ind w:right="-1"/>
              <w:jc w:val="center"/>
              <w:rPr>
                <w:sz w:val="22"/>
                <w:szCs w:val="22"/>
              </w:rPr>
            </w:pPr>
            <w:r w:rsidRPr="005F61E4">
              <w:rPr>
                <w:sz w:val="22"/>
                <w:szCs w:val="22"/>
              </w:rPr>
              <w:t>99,8</w:t>
            </w:r>
          </w:p>
        </w:tc>
      </w:tr>
    </w:tbl>
    <w:p w:rsidR="006E1BBA" w:rsidRPr="006E1BBA" w:rsidRDefault="006E1BBA" w:rsidP="006E1BBA">
      <w:pPr>
        <w:ind w:right="-1" w:firstLine="540"/>
        <w:jc w:val="both"/>
        <w:rPr>
          <w:b/>
          <w:highlight w:val="yellow"/>
          <w:u w:val="single"/>
        </w:rPr>
      </w:pPr>
    </w:p>
    <w:p w:rsidR="005F61E4" w:rsidRPr="006E1BBA" w:rsidRDefault="006E1BBA" w:rsidP="005F61E4">
      <w:pPr>
        <w:ind w:right="-1" w:firstLine="540"/>
        <w:jc w:val="both"/>
        <w:rPr>
          <w:highlight w:val="yellow"/>
        </w:rPr>
      </w:pPr>
      <w:r w:rsidRPr="005F61E4">
        <w:t>Как видно из таблицы решением о бюджете предусмотрены бюджетные ассигнования  на выполнение мероприятий по Программе за счет средств областного бюджета в сумме 5000 тыс. руб</w:t>
      </w:r>
      <w:r w:rsidR="005F61E4" w:rsidRPr="005F61E4">
        <w:t>лей</w:t>
      </w:r>
      <w:r w:rsidRPr="005F61E4">
        <w:t>, а в Программе определена сумма 27000 тыс. руб</w:t>
      </w:r>
      <w:r w:rsidR="005F61E4" w:rsidRPr="005F61E4">
        <w:t>лей.</w:t>
      </w:r>
      <w:r w:rsidRPr="005F61E4">
        <w:t xml:space="preserve"> </w:t>
      </w:r>
      <w:r w:rsidR="005F61E4" w:rsidRPr="00A4354F">
        <w:t xml:space="preserve">Данный факт свидетельствует </w:t>
      </w:r>
      <w:r w:rsidR="005F61E4" w:rsidRPr="00A4354F">
        <w:rPr>
          <w:b/>
        </w:rPr>
        <w:t xml:space="preserve">о нарушении п. 2 ст. 179 БК РФ и </w:t>
      </w:r>
      <w:r w:rsidR="005F61E4">
        <w:rPr>
          <w:b/>
        </w:rPr>
        <w:t xml:space="preserve">п. 3.5 </w:t>
      </w:r>
      <w:r w:rsidR="005F61E4" w:rsidRPr="009C128A">
        <w:rPr>
          <w:b/>
        </w:rPr>
        <w:t xml:space="preserve">Порядка </w:t>
      </w:r>
      <w:r w:rsidR="005F61E4" w:rsidRPr="0011388A">
        <w:rPr>
          <w:b/>
        </w:rPr>
        <w:t xml:space="preserve">разработки, реализации и оценки эффективности реализации муниципальных программ </w:t>
      </w:r>
      <w:r w:rsidR="005F61E4">
        <w:rPr>
          <w:b/>
        </w:rPr>
        <w:t>МО</w:t>
      </w:r>
      <w:r w:rsidR="005F61E4" w:rsidRPr="0011388A">
        <w:rPr>
          <w:b/>
        </w:rPr>
        <w:t xml:space="preserve"> Куйтунский район</w:t>
      </w:r>
      <w:r w:rsidR="005F61E4">
        <w:t>, утвержденного постановлением администрации от 18.04.2014г. № 265-п</w:t>
      </w:r>
      <w:r w:rsidR="005F61E4" w:rsidRPr="00A4354F">
        <w:t xml:space="preserve">, предусматривающего, что объем бюджетных ассигнований на реализацию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 утвердившим программу </w:t>
      </w:r>
      <w:r w:rsidR="005F61E4">
        <w:t>(пункт 1.2.2 Классификатора нарушений)</w:t>
      </w:r>
      <w:r w:rsidR="005F61E4" w:rsidRPr="00A4354F">
        <w:t>.</w:t>
      </w:r>
    </w:p>
    <w:p w:rsidR="006E1BBA" w:rsidRDefault="006E1BBA" w:rsidP="0065790B">
      <w:pPr>
        <w:ind w:right="-1" w:firstLine="540"/>
        <w:jc w:val="center"/>
      </w:pPr>
    </w:p>
    <w:p w:rsidR="0065790B" w:rsidRPr="0065790B" w:rsidRDefault="002F206B" w:rsidP="00973070">
      <w:pPr>
        <w:autoSpaceDE w:val="0"/>
        <w:autoSpaceDN w:val="0"/>
        <w:adjustRightInd w:val="0"/>
        <w:ind w:left="2124" w:hanging="2691"/>
        <w:jc w:val="center"/>
        <w:rPr>
          <w:b/>
        </w:rPr>
      </w:pPr>
      <w:r w:rsidRPr="0065790B">
        <w:rPr>
          <w:b/>
        </w:rPr>
        <w:t>4</w:t>
      </w:r>
      <w:r w:rsidR="002379D8" w:rsidRPr="0065790B">
        <w:rPr>
          <w:b/>
        </w:rPr>
        <w:t>.</w:t>
      </w:r>
      <w:r w:rsidR="00EA5140" w:rsidRPr="0065790B">
        <w:rPr>
          <w:b/>
        </w:rPr>
        <w:t xml:space="preserve"> </w:t>
      </w:r>
      <w:r w:rsidR="006D2B0D" w:rsidRPr="0065790B">
        <w:rPr>
          <w:b/>
        </w:rPr>
        <w:t xml:space="preserve">Контроль за ходом реализации, а так же оценка эффективности и </w:t>
      </w:r>
    </w:p>
    <w:p w:rsidR="00A50A43" w:rsidRPr="0065790B" w:rsidRDefault="006D2B0D" w:rsidP="00973070">
      <w:pPr>
        <w:autoSpaceDE w:val="0"/>
        <w:autoSpaceDN w:val="0"/>
        <w:adjustRightInd w:val="0"/>
        <w:ind w:left="2124" w:hanging="2691"/>
        <w:jc w:val="center"/>
      </w:pPr>
      <w:r w:rsidRPr="0065790B">
        <w:rPr>
          <w:b/>
        </w:rPr>
        <w:t>р</w:t>
      </w:r>
      <w:r w:rsidR="00A50A43" w:rsidRPr="0065790B">
        <w:rPr>
          <w:b/>
        </w:rPr>
        <w:t>езульта</w:t>
      </w:r>
      <w:r w:rsidRPr="0065790B">
        <w:rPr>
          <w:b/>
        </w:rPr>
        <w:t>тивности п</w:t>
      </w:r>
      <w:r w:rsidR="00A50A43" w:rsidRPr="0065790B">
        <w:rPr>
          <w:b/>
        </w:rPr>
        <w:t>рограммы</w:t>
      </w:r>
    </w:p>
    <w:p w:rsidR="00D03DB5" w:rsidRDefault="00D03DB5" w:rsidP="00ED1F9C">
      <w:pPr>
        <w:ind w:firstLine="567"/>
        <w:jc w:val="both"/>
        <w:rPr>
          <w:b/>
          <w:color w:val="FF0000"/>
        </w:rPr>
      </w:pPr>
    </w:p>
    <w:p w:rsidR="0065790B" w:rsidRPr="007814DC" w:rsidRDefault="0065790B" w:rsidP="0065790B">
      <w:pPr>
        <w:autoSpaceDE w:val="0"/>
        <w:autoSpaceDN w:val="0"/>
        <w:adjustRightInd w:val="0"/>
        <w:ind w:firstLine="567"/>
        <w:jc w:val="both"/>
      </w:pPr>
      <w:r w:rsidRPr="007814DC">
        <w:t>Все мероприятия, предусмотренные Программой, направлены на улучшение показателей, характеризующих позитивные изменения исполнения местного бюджета: повышение доходов, повышение эффективности бюджетных расходов, снижение дебиторской и кредиторской задолженности, увеличение доли программно-целевых расходов, увеличение охвата муниципальных учреждений муниципальным финансовым контролем и так далее.</w:t>
      </w:r>
    </w:p>
    <w:p w:rsidR="0065790B" w:rsidRPr="007814DC" w:rsidRDefault="0065790B" w:rsidP="0065790B">
      <w:pPr>
        <w:autoSpaceDE w:val="0"/>
        <w:autoSpaceDN w:val="0"/>
        <w:adjustRightInd w:val="0"/>
        <w:ind w:firstLine="567"/>
        <w:jc w:val="both"/>
      </w:pPr>
      <w:r w:rsidRPr="007814DC">
        <w:t>В целом за пять лет действия Программы (2011-2015) освоено средств в объеме 93446,5 тыс. руб</w:t>
      </w:r>
      <w:r w:rsidR="007814DC" w:rsidRPr="007814DC">
        <w:t>лей</w:t>
      </w:r>
      <w:r w:rsidRPr="007814DC">
        <w:t>, из них 88567,6 тыс. руб</w:t>
      </w:r>
      <w:r w:rsidR="007814DC" w:rsidRPr="007814DC">
        <w:t>лей</w:t>
      </w:r>
      <w:r w:rsidRPr="007814DC">
        <w:t>, или 95% за счет предоставленной субсидии из областного бюджета, и 4878,9 тыс. руб</w:t>
      </w:r>
      <w:r w:rsidR="007814DC" w:rsidRPr="007814DC">
        <w:t>лей</w:t>
      </w:r>
      <w:r w:rsidRPr="007814DC">
        <w:t xml:space="preserve">, или 5% за счет средств районного бюджета. Средства в рамках Программы направлены в качестве межбюджетных </w:t>
      </w:r>
      <w:r w:rsidRPr="007814DC">
        <w:lastRenderedPageBreak/>
        <w:t>трансфертов поселениям (12371,4</w:t>
      </w:r>
      <w:r w:rsidR="007814DC" w:rsidRPr="007814DC">
        <w:t xml:space="preserve"> </w:t>
      </w:r>
      <w:r w:rsidRPr="007814DC">
        <w:t>тыс. руб</w:t>
      </w:r>
      <w:r w:rsidR="007814DC" w:rsidRPr="007814DC">
        <w:t>лей</w:t>
      </w:r>
      <w:r w:rsidRPr="007814DC">
        <w:t>) и на содержание органов власти, учреждений образования и культуры (оплата труда, коммунальные услуги и др.).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1428"/>
        <w:gridCol w:w="1516"/>
        <w:gridCol w:w="1645"/>
        <w:gridCol w:w="1674"/>
        <w:gridCol w:w="1688"/>
      </w:tblGrid>
      <w:tr w:rsidR="0065790B" w:rsidRPr="0065790B" w:rsidTr="00293C45">
        <w:tc>
          <w:tcPr>
            <w:tcW w:w="1796" w:type="dxa"/>
            <w:shd w:val="clear" w:color="auto" w:fill="auto"/>
          </w:tcPr>
          <w:p w:rsidR="0065790B" w:rsidRPr="007814DC" w:rsidRDefault="0065790B" w:rsidP="007814DC">
            <w:pPr>
              <w:ind w:right="-1"/>
              <w:jc w:val="center"/>
              <w:rPr>
                <w:sz w:val="20"/>
                <w:szCs w:val="20"/>
              </w:rPr>
            </w:pPr>
            <w:r w:rsidRPr="007814DC">
              <w:rPr>
                <w:sz w:val="20"/>
                <w:szCs w:val="20"/>
              </w:rPr>
              <w:t>2012-2015 годы</w:t>
            </w:r>
          </w:p>
        </w:tc>
        <w:tc>
          <w:tcPr>
            <w:tcW w:w="1428" w:type="dxa"/>
            <w:shd w:val="clear" w:color="auto" w:fill="auto"/>
          </w:tcPr>
          <w:p w:rsidR="0065790B" w:rsidRPr="007814DC" w:rsidRDefault="0065790B" w:rsidP="007814DC">
            <w:pPr>
              <w:ind w:right="-1"/>
              <w:jc w:val="center"/>
              <w:rPr>
                <w:sz w:val="20"/>
                <w:szCs w:val="20"/>
              </w:rPr>
            </w:pPr>
            <w:r w:rsidRPr="007814DC">
              <w:rPr>
                <w:sz w:val="20"/>
                <w:szCs w:val="20"/>
              </w:rPr>
              <w:t>Утверждено паспортом</w:t>
            </w:r>
          </w:p>
        </w:tc>
        <w:tc>
          <w:tcPr>
            <w:tcW w:w="1516" w:type="dxa"/>
            <w:shd w:val="clear" w:color="auto" w:fill="auto"/>
          </w:tcPr>
          <w:p w:rsidR="0065790B" w:rsidRPr="007814DC" w:rsidRDefault="0065790B" w:rsidP="007814DC">
            <w:pPr>
              <w:ind w:right="-1"/>
              <w:jc w:val="center"/>
              <w:rPr>
                <w:sz w:val="20"/>
                <w:szCs w:val="20"/>
              </w:rPr>
            </w:pPr>
            <w:r w:rsidRPr="007814DC">
              <w:rPr>
                <w:sz w:val="20"/>
                <w:szCs w:val="20"/>
              </w:rPr>
              <w:t>Утверждено бюджетом</w:t>
            </w:r>
          </w:p>
        </w:tc>
        <w:tc>
          <w:tcPr>
            <w:tcW w:w="1645" w:type="dxa"/>
            <w:shd w:val="clear" w:color="auto" w:fill="auto"/>
          </w:tcPr>
          <w:p w:rsidR="0065790B" w:rsidRPr="007814DC" w:rsidRDefault="0065790B" w:rsidP="007814DC">
            <w:pPr>
              <w:ind w:right="-1"/>
              <w:jc w:val="center"/>
              <w:rPr>
                <w:sz w:val="20"/>
                <w:szCs w:val="20"/>
              </w:rPr>
            </w:pPr>
            <w:r w:rsidRPr="007814DC">
              <w:rPr>
                <w:sz w:val="20"/>
                <w:szCs w:val="20"/>
              </w:rPr>
              <w:t>Фактическое исполнение</w:t>
            </w:r>
          </w:p>
        </w:tc>
        <w:tc>
          <w:tcPr>
            <w:tcW w:w="1674" w:type="dxa"/>
            <w:shd w:val="clear" w:color="auto" w:fill="auto"/>
          </w:tcPr>
          <w:p w:rsidR="0065790B" w:rsidRPr="007814DC" w:rsidRDefault="0065790B" w:rsidP="007814DC">
            <w:pPr>
              <w:ind w:left="-148" w:right="-95"/>
              <w:jc w:val="center"/>
              <w:rPr>
                <w:sz w:val="20"/>
                <w:szCs w:val="20"/>
              </w:rPr>
            </w:pPr>
            <w:r w:rsidRPr="007814DC">
              <w:rPr>
                <w:sz w:val="20"/>
                <w:szCs w:val="20"/>
              </w:rPr>
              <w:t>% исполнения</w:t>
            </w:r>
            <w:r w:rsidR="007814DC" w:rsidRPr="007814DC">
              <w:rPr>
                <w:sz w:val="20"/>
                <w:szCs w:val="20"/>
              </w:rPr>
              <w:t xml:space="preserve"> </w:t>
            </w:r>
            <w:r w:rsidRPr="007814DC">
              <w:rPr>
                <w:sz w:val="20"/>
                <w:szCs w:val="20"/>
              </w:rPr>
              <w:t>от утвержденного бюджетом</w:t>
            </w:r>
          </w:p>
        </w:tc>
        <w:tc>
          <w:tcPr>
            <w:tcW w:w="1688" w:type="dxa"/>
          </w:tcPr>
          <w:p w:rsidR="0065790B" w:rsidRPr="007814DC" w:rsidRDefault="0065790B" w:rsidP="007814DC">
            <w:pPr>
              <w:ind w:left="-121" w:right="-1"/>
              <w:jc w:val="center"/>
              <w:rPr>
                <w:sz w:val="20"/>
                <w:szCs w:val="20"/>
              </w:rPr>
            </w:pPr>
            <w:r w:rsidRPr="007814DC">
              <w:rPr>
                <w:sz w:val="20"/>
                <w:szCs w:val="20"/>
              </w:rPr>
              <w:t xml:space="preserve">% исполнения </w:t>
            </w:r>
            <w:r w:rsidR="007814DC" w:rsidRPr="007814DC">
              <w:rPr>
                <w:sz w:val="20"/>
                <w:szCs w:val="20"/>
              </w:rPr>
              <w:t xml:space="preserve"> </w:t>
            </w:r>
            <w:r w:rsidRPr="007814DC">
              <w:rPr>
                <w:sz w:val="20"/>
                <w:szCs w:val="20"/>
              </w:rPr>
              <w:t>от утвержденного Программой</w:t>
            </w:r>
          </w:p>
        </w:tc>
      </w:tr>
      <w:tr w:rsidR="0065790B" w:rsidRPr="0065790B" w:rsidTr="00293C45">
        <w:tc>
          <w:tcPr>
            <w:tcW w:w="1796" w:type="dxa"/>
            <w:shd w:val="clear" w:color="auto" w:fill="auto"/>
          </w:tcPr>
          <w:p w:rsidR="0065790B" w:rsidRPr="007814DC" w:rsidRDefault="0065790B" w:rsidP="00293C45">
            <w:pPr>
              <w:ind w:right="-1"/>
              <w:jc w:val="both"/>
              <w:rPr>
                <w:sz w:val="20"/>
                <w:szCs w:val="20"/>
              </w:rPr>
            </w:pPr>
            <w:r w:rsidRPr="007814DC">
              <w:rPr>
                <w:sz w:val="20"/>
                <w:szCs w:val="20"/>
              </w:rPr>
              <w:t>за счет областной субсидии, из них:</w:t>
            </w:r>
          </w:p>
        </w:tc>
        <w:tc>
          <w:tcPr>
            <w:tcW w:w="1428" w:type="dxa"/>
            <w:shd w:val="clear" w:color="auto" w:fill="auto"/>
          </w:tcPr>
          <w:p w:rsidR="0065790B" w:rsidRPr="007814DC" w:rsidRDefault="0065790B" w:rsidP="00293C45">
            <w:pPr>
              <w:ind w:right="-1"/>
              <w:jc w:val="center"/>
              <w:rPr>
                <w:sz w:val="22"/>
                <w:szCs w:val="22"/>
              </w:rPr>
            </w:pPr>
            <w:r w:rsidRPr="007814DC">
              <w:rPr>
                <w:sz w:val="22"/>
                <w:szCs w:val="22"/>
              </w:rPr>
              <w:t>110567,6</w:t>
            </w:r>
          </w:p>
        </w:tc>
        <w:tc>
          <w:tcPr>
            <w:tcW w:w="1516" w:type="dxa"/>
            <w:shd w:val="clear" w:color="auto" w:fill="auto"/>
          </w:tcPr>
          <w:p w:rsidR="0065790B" w:rsidRPr="007814DC" w:rsidRDefault="0065790B" w:rsidP="007814DC">
            <w:pPr>
              <w:ind w:right="-1"/>
              <w:jc w:val="center"/>
              <w:rPr>
                <w:sz w:val="22"/>
                <w:szCs w:val="22"/>
              </w:rPr>
            </w:pPr>
            <w:r w:rsidRPr="007814DC">
              <w:rPr>
                <w:sz w:val="22"/>
                <w:szCs w:val="22"/>
              </w:rPr>
              <w:t>88567,6</w:t>
            </w:r>
          </w:p>
        </w:tc>
        <w:tc>
          <w:tcPr>
            <w:tcW w:w="1645" w:type="dxa"/>
            <w:shd w:val="clear" w:color="auto" w:fill="auto"/>
          </w:tcPr>
          <w:p w:rsidR="0065790B" w:rsidRPr="007814DC" w:rsidRDefault="0065790B" w:rsidP="00293C45">
            <w:pPr>
              <w:ind w:right="-1"/>
              <w:jc w:val="center"/>
              <w:rPr>
                <w:sz w:val="22"/>
                <w:szCs w:val="22"/>
              </w:rPr>
            </w:pPr>
            <w:r w:rsidRPr="007814DC">
              <w:rPr>
                <w:sz w:val="22"/>
                <w:szCs w:val="22"/>
              </w:rPr>
              <w:t>88567,6</w:t>
            </w:r>
          </w:p>
        </w:tc>
        <w:tc>
          <w:tcPr>
            <w:tcW w:w="1674" w:type="dxa"/>
            <w:shd w:val="clear" w:color="auto" w:fill="auto"/>
          </w:tcPr>
          <w:p w:rsidR="0065790B" w:rsidRPr="007814DC" w:rsidRDefault="0065790B" w:rsidP="00293C45">
            <w:pPr>
              <w:ind w:right="-1"/>
              <w:jc w:val="center"/>
              <w:rPr>
                <w:sz w:val="22"/>
                <w:szCs w:val="22"/>
              </w:rPr>
            </w:pPr>
            <w:r w:rsidRPr="007814DC">
              <w:rPr>
                <w:sz w:val="22"/>
                <w:szCs w:val="22"/>
              </w:rPr>
              <w:t>100</w:t>
            </w:r>
          </w:p>
        </w:tc>
        <w:tc>
          <w:tcPr>
            <w:tcW w:w="1688" w:type="dxa"/>
          </w:tcPr>
          <w:p w:rsidR="0065790B" w:rsidRPr="007814DC" w:rsidRDefault="0065790B" w:rsidP="00293C45">
            <w:pPr>
              <w:ind w:right="-1"/>
              <w:jc w:val="center"/>
              <w:rPr>
                <w:sz w:val="22"/>
                <w:szCs w:val="22"/>
              </w:rPr>
            </w:pPr>
            <w:r w:rsidRPr="007814DC">
              <w:rPr>
                <w:sz w:val="22"/>
                <w:szCs w:val="22"/>
              </w:rPr>
              <w:t>80,1</w:t>
            </w:r>
          </w:p>
        </w:tc>
      </w:tr>
      <w:tr w:rsidR="0065790B" w:rsidRPr="0065790B" w:rsidTr="00293C45">
        <w:tc>
          <w:tcPr>
            <w:tcW w:w="1796" w:type="dxa"/>
            <w:shd w:val="clear" w:color="auto" w:fill="auto"/>
          </w:tcPr>
          <w:p w:rsidR="0065790B" w:rsidRPr="007814DC" w:rsidRDefault="0065790B" w:rsidP="00293C45">
            <w:pPr>
              <w:ind w:right="-1"/>
              <w:jc w:val="both"/>
              <w:rPr>
                <w:i/>
                <w:sz w:val="20"/>
                <w:szCs w:val="20"/>
              </w:rPr>
            </w:pPr>
            <w:r w:rsidRPr="007814DC">
              <w:rPr>
                <w:i/>
                <w:sz w:val="20"/>
                <w:szCs w:val="20"/>
              </w:rPr>
              <w:t>в бюджеты поселений</w:t>
            </w:r>
          </w:p>
        </w:tc>
        <w:tc>
          <w:tcPr>
            <w:tcW w:w="1428" w:type="dxa"/>
            <w:shd w:val="clear" w:color="auto" w:fill="auto"/>
          </w:tcPr>
          <w:p w:rsidR="0065790B" w:rsidRPr="007814DC" w:rsidRDefault="0065790B" w:rsidP="00293C45">
            <w:pPr>
              <w:ind w:right="-1"/>
              <w:jc w:val="center"/>
              <w:rPr>
                <w:i/>
                <w:sz w:val="22"/>
                <w:szCs w:val="22"/>
              </w:rPr>
            </w:pPr>
            <w:r w:rsidRPr="007814DC">
              <w:rPr>
                <w:i/>
                <w:sz w:val="22"/>
                <w:szCs w:val="22"/>
              </w:rPr>
              <w:t>16713,4</w:t>
            </w:r>
          </w:p>
        </w:tc>
        <w:tc>
          <w:tcPr>
            <w:tcW w:w="1516" w:type="dxa"/>
            <w:shd w:val="clear" w:color="auto" w:fill="auto"/>
          </w:tcPr>
          <w:p w:rsidR="0065790B" w:rsidRPr="007814DC" w:rsidRDefault="0065790B" w:rsidP="007814DC">
            <w:pPr>
              <w:ind w:right="-1"/>
              <w:jc w:val="center"/>
              <w:rPr>
                <w:i/>
                <w:sz w:val="22"/>
                <w:szCs w:val="22"/>
              </w:rPr>
            </w:pPr>
            <w:r w:rsidRPr="007814DC">
              <w:rPr>
                <w:i/>
                <w:sz w:val="22"/>
                <w:szCs w:val="22"/>
              </w:rPr>
              <w:t>12371,4</w:t>
            </w:r>
          </w:p>
        </w:tc>
        <w:tc>
          <w:tcPr>
            <w:tcW w:w="1645" w:type="dxa"/>
            <w:shd w:val="clear" w:color="auto" w:fill="auto"/>
          </w:tcPr>
          <w:p w:rsidR="0065790B" w:rsidRPr="007814DC" w:rsidRDefault="0065790B" w:rsidP="00293C45">
            <w:pPr>
              <w:ind w:right="-1"/>
              <w:jc w:val="center"/>
              <w:rPr>
                <w:i/>
                <w:sz w:val="22"/>
                <w:szCs w:val="22"/>
              </w:rPr>
            </w:pPr>
            <w:r w:rsidRPr="007814DC">
              <w:rPr>
                <w:i/>
                <w:sz w:val="22"/>
                <w:szCs w:val="22"/>
              </w:rPr>
              <w:t>12371,4</w:t>
            </w:r>
          </w:p>
        </w:tc>
        <w:tc>
          <w:tcPr>
            <w:tcW w:w="1674" w:type="dxa"/>
            <w:shd w:val="clear" w:color="auto" w:fill="auto"/>
          </w:tcPr>
          <w:p w:rsidR="0065790B" w:rsidRPr="007814DC" w:rsidRDefault="0065790B" w:rsidP="00293C45">
            <w:pPr>
              <w:ind w:right="-1"/>
              <w:jc w:val="center"/>
              <w:rPr>
                <w:i/>
                <w:sz w:val="22"/>
                <w:szCs w:val="22"/>
              </w:rPr>
            </w:pPr>
            <w:r w:rsidRPr="007814DC">
              <w:rPr>
                <w:i/>
                <w:sz w:val="22"/>
                <w:szCs w:val="22"/>
              </w:rPr>
              <w:t>100</w:t>
            </w:r>
          </w:p>
        </w:tc>
        <w:tc>
          <w:tcPr>
            <w:tcW w:w="1688" w:type="dxa"/>
          </w:tcPr>
          <w:p w:rsidR="0065790B" w:rsidRPr="007814DC" w:rsidRDefault="0065790B" w:rsidP="00293C45">
            <w:pPr>
              <w:ind w:right="-1"/>
              <w:jc w:val="center"/>
              <w:rPr>
                <w:i/>
                <w:sz w:val="22"/>
                <w:szCs w:val="22"/>
              </w:rPr>
            </w:pPr>
            <w:r w:rsidRPr="007814DC">
              <w:rPr>
                <w:i/>
                <w:sz w:val="22"/>
                <w:szCs w:val="22"/>
              </w:rPr>
              <w:t>74</w:t>
            </w:r>
          </w:p>
        </w:tc>
      </w:tr>
      <w:tr w:rsidR="0065790B" w:rsidRPr="0065790B" w:rsidTr="00293C45">
        <w:tc>
          <w:tcPr>
            <w:tcW w:w="1796" w:type="dxa"/>
            <w:shd w:val="clear" w:color="auto" w:fill="auto"/>
          </w:tcPr>
          <w:p w:rsidR="0065790B" w:rsidRPr="007814DC" w:rsidRDefault="0065790B" w:rsidP="00293C45">
            <w:pPr>
              <w:ind w:right="-1"/>
              <w:jc w:val="both"/>
              <w:rPr>
                <w:sz w:val="20"/>
                <w:szCs w:val="20"/>
              </w:rPr>
            </w:pPr>
            <w:r w:rsidRPr="007814DC">
              <w:rPr>
                <w:sz w:val="20"/>
                <w:szCs w:val="20"/>
              </w:rPr>
              <w:t>местные средства</w:t>
            </w:r>
          </w:p>
        </w:tc>
        <w:tc>
          <w:tcPr>
            <w:tcW w:w="1428" w:type="dxa"/>
            <w:shd w:val="clear" w:color="auto" w:fill="auto"/>
          </w:tcPr>
          <w:p w:rsidR="0065790B" w:rsidRPr="007814DC" w:rsidRDefault="0065790B" w:rsidP="00293C45">
            <w:pPr>
              <w:ind w:right="-1"/>
              <w:jc w:val="center"/>
              <w:rPr>
                <w:sz w:val="22"/>
                <w:szCs w:val="22"/>
              </w:rPr>
            </w:pPr>
            <w:r w:rsidRPr="007814DC">
              <w:rPr>
                <w:sz w:val="22"/>
                <w:szCs w:val="22"/>
              </w:rPr>
              <w:t>7068</w:t>
            </w:r>
          </w:p>
        </w:tc>
        <w:tc>
          <w:tcPr>
            <w:tcW w:w="1516" w:type="dxa"/>
            <w:shd w:val="clear" w:color="auto" w:fill="auto"/>
          </w:tcPr>
          <w:p w:rsidR="0065790B" w:rsidRPr="007814DC" w:rsidRDefault="0065790B" w:rsidP="007814DC">
            <w:pPr>
              <w:ind w:right="-1"/>
              <w:jc w:val="center"/>
              <w:rPr>
                <w:sz w:val="22"/>
                <w:szCs w:val="22"/>
              </w:rPr>
            </w:pPr>
            <w:r w:rsidRPr="007814DC">
              <w:rPr>
                <w:sz w:val="22"/>
                <w:szCs w:val="22"/>
              </w:rPr>
              <w:t>4894</w:t>
            </w:r>
          </w:p>
        </w:tc>
        <w:tc>
          <w:tcPr>
            <w:tcW w:w="1645" w:type="dxa"/>
            <w:shd w:val="clear" w:color="auto" w:fill="auto"/>
          </w:tcPr>
          <w:p w:rsidR="0065790B" w:rsidRPr="007814DC" w:rsidRDefault="0065790B" w:rsidP="00293C45">
            <w:pPr>
              <w:ind w:right="-1"/>
              <w:jc w:val="center"/>
              <w:rPr>
                <w:sz w:val="22"/>
                <w:szCs w:val="22"/>
              </w:rPr>
            </w:pPr>
            <w:r w:rsidRPr="007814DC">
              <w:rPr>
                <w:sz w:val="22"/>
                <w:szCs w:val="22"/>
              </w:rPr>
              <w:t>4878,9</w:t>
            </w:r>
          </w:p>
        </w:tc>
        <w:tc>
          <w:tcPr>
            <w:tcW w:w="1674" w:type="dxa"/>
            <w:shd w:val="clear" w:color="auto" w:fill="auto"/>
          </w:tcPr>
          <w:p w:rsidR="0065790B" w:rsidRPr="007814DC" w:rsidRDefault="0065790B" w:rsidP="00293C45">
            <w:pPr>
              <w:ind w:right="-1"/>
              <w:jc w:val="center"/>
              <w:rPr>
                <w:sz w:val="22"/>
                <w:szCs w:val="22"/>
              </w:rPr>
            </w:pPr>
            <w:r w:rsidRPr="007814DC">
              <w:rPr>
                <w:sz w:val="22"/>
                <w:szCs w:val="22"/>
              </w:rPr>
              <w:t>99,7</w:t>
            </w:r>
          </w:p>
        </w:tc>
        <w:tc>
          <w:tcPr>
            <w:tcW w:w="1688" w:type="dxa"/>
          </w:tcPr>
          <w:p w:rsidR="0065790B" w:rsidRPr="007814DC" w:rsidRDefault="0065790B" w:rsidP="00293C45">
            <w:pPr>
              <w:ind w:right="-1"/>
              <w:jc w:val="center"/>
              <w:rPr>
                <w:sz w:val="22"/>
                <w:szCs w:val="22"/>
              </w:rPr>
            </w:pPr>
            <w:r w:rsidRPr="007814DC">
              <w:rPr>
                <w:sz w:val="22"/>
                <w:szCs w:val="22"/>
              </w:rPr>
              <w:t>69</w:t>
            </w:r>
          </w:p>
        </w:tc>
      </w:tr>
      <w:tr w:rsidR="0065790B" w:rsidRPr="0065790B" w:rsidTr="00293C45">
        <w:tc>
          <w:tcPr>
            <w:tcW w:w="1796" w:type="dxa"/>
            <w:shd w:val="clear" w:color="auto" w:fill="auto"/>
          </w:tcPr>
          <w:p w:rsidR="0065790B" w:rsidRPr="007814DC" w:rsidRDefault="0065790B" w:rsidP="007814DC">
            <w:pPr>
              <w:ind w:right="-1"/>
              <w:jc w:val="center"/>
              <w:rPr>
                <w:sz w:val="20"/>
                <w:szCs w:val="20"/>
              </w:rPr>
            </w:pPr>
            <w:r w:rsidRPr="007814DC">
              <w:rPr>
                <w:sz w:val="20"/>
                <w:szCs w:val="20"/>
              </w:rPr>
              <w:t>Итого</w:t>
            </w:r>
          </w:p>
        </w:tc>
        <w:tc>
          <w:tcPr>
            <w:tcW w:w="1428" w:type="dxa"/>
            <w:shd w:val="clear" w:color="auto" w:fill="auto"/>
          </w:tcPr>
          <w:p w:rsidR="0065790B" w:rsidRPr="007814DC" w:rsidRDefault="0065790B" w:rsidP="00293C45">
            <w:pPr>
              <w:ind w:right="-1"/>
              <w:jc w:val="center"/>
              <w:rPr>
                <w:sz w:val="22"/>
                <w:szCs w:val="22"/>
              </w:rPr>
            </w:pPr>
            <w:r w:rsidRPr="007814DC">
              <w:rPr>
                <w:sz w:val="22"/>
                <w:szCs w:val="22"/>
              </w:rPr>
              <w:t>117635,6</w:t>
            </w:r>
          </w:p>
        </w:tc>
        <w:tc>
          <w:tcPr>
            <w:tcW w:w="1516" w:type="dxa"/>
            <w:shd w:val="clear" w:color="auto" w:fill="auto"/>
          </w:tcPr>
          <w:p w:rsidR="0065790B" w:rsidRPr="007814DC" w:rsidRDefault="0065790B" w:rsidP="007814DC">
            <w:pPr>
              <w:ind w:right="-1"/>
              <w:jc w:val="center"/>
              <w:rPr>
                <w:sz w:val="22"/>
                <w:szCs w:val="22"/>
              </w:rPr>
            </w:pPr>
            <w:r w:rsidRPr="007814DC">
              <w:rPr>
                <w:sz w:val="22"/>
                <w:szCs w:val="22"/>
              </w:rPr>
              <w:t>93461,6</w:t>
            </w:r>
          </w:p>
        </w:tc>
        <w:tc>
          <w:tcPr>
            <w:tcW w:w="1645" w:type="dxa"/>
            <w:shd w:val="clear" w:color="auto" w:fill="auto"/>
          </w:tcPr>
          <w:p w:rsidR="0065790B" w:rsidRPr="007814DC" w:rsidRDefault="0065790B" w:rsidP="00293C45">
            <w:pPr>
              <w:ind w:right="-1"/>
              <w:jc w:val="center"/>
              <w:rPr>
                <w:sz w:val="22"/>
                <w:szCs w:val="22"/>
              </w:rPr>
            </w:pPr>
            <w:r w:rsidRPr="007814DC">
              <w:rPr>
                <w:sz w:val="22"/>
                <w:szCs w:val="22"/>
              </w:rPr>
              <w:t>93446,5</w:t>
            </w:r>
          </w:p>
        </w:tc>
        <w:tc>
          <w:tcPr>
            <w:tcW w:w="1674" w:type="dxa"/>
            <w:shd w:val="clear" w:color="auto" w:fill="auto"/>
          </w:tcPr>
          <w:p w:rsidR="0065790B" w:rsidRPr="007814DC" w:rsidRDefault="0065790B" w:rsidP="00293C45">
            <w:pPr>
              <w:ind w:right="-1"/>
              <w:jc w:val="center"/>
              <w:rPr>
                <w:sz w:val="22"/>
                <w:szCs w:val="22"/>
              </w:rPr>
            </w:pPr>
            <w:r w:rsidRPr="007814DC">
              <w:rPr>
                <w:sz w:val="22"/>
                <w:szCs w:val="22"/>
              </w:rPr>
              <w:t>100</w:t>
            </w:r>
          </w:p>
        </w:tc>
        <w:tc>
          <w:tcPr>
            <w:tcW w:w="1688" w:type="dxa"/>
          </w:tcPr>
          <w:p w:rsidR="0065790B" w:rsidRPr="007814DC" w:rsidRDefault="0065790B" w:rsidP="00293C45">
            <w:pPr>
              <w:ind w:right="-1"/>
              <w:jc w:val="center"/>
              <w:rPr>
                <w:sz w:val="22"/>
                <w:szCs w:val="22"/>
              </w:rPr>
            </w:pPr>
            <w:r w:rsidRPr="007814DC">
              <w:rPr>
                <w:sz w:val="22"/>
                <w:szCs w:val="22"/>
              </w:rPr>
              <w:t>79,4</w:t>
            </w:r>
          </w:p>
        </w:tc>
      </w:tr>
    </w:tbl>
    <w:p w:rsidR="0065790B" w:rsidRPr="0065790B" w:rsidRDefault="0065790B" w:rsidP="0065790B">
      <w:pPr>
        <w:autoSpaceDE w:val="0"/>
        <w:autoSpaceDN w:val="0"/>
        <w:adjustRightInd w:val="0"/>
        <w:ind w:firstLine="708"/>
        <w:jc w:val="both"/>
        <w:rPr>
          <w:highlight w:val="yellow"/>
        </w:rPr>
      </w:pPr>
    </w:p>
    <w:p w:rsidR="0065790B" w:rsidRDefault="0065790B" w:rsidP="0065790B">
      <w:pPr>
        <w:autoSpaceDE w:val="0"/>
        <w:autoSpaceDN w:val="0"/>
        <w:adjustRightInd w:val="0"/>
        <w:ind w:firstLine="567"/>
        <w:jc w:val="both"/>
      </w:pPr>
      <w:r w:rsidRPr="007814DC">
        <w:t xml:space="preserve">Контрольно-счетной палатой проведен анализ достигнутых результатов реализации Программы по индикаторам, которые приведены в таблице в разделе </w:t>
      </w:r>
      <w:r w:rsidRPr="007814DC">
        <w:rPr>
          <w:lang w:val="en-US"/>
        </w:rPr>
        <w:t>VI</w:t>
      </w:r>
      <w:r w:rsidR="007814DC" w:rsidRPr="007814DC">
        <w:t xml:space="preserve"> </w:t>
      </w:r>
      <w:r w:rsidRPr="007814DC">
        <w:t>Программы. Оценка в разрезе показателей результативности реализации Программы за 2011–2015 годы представлена ниже</w:t>
      </w:r>
      <w:r w:rsidR="00912216">
        <w:t xml:space="preserve"> в таблице 6</w:t>
      </w:r>
      <w:r w:rsidRPr="007814DC">
        <w:t>.</w:t>
      </w:r>
    </w:p>
    <w:p w:rsidR="00912216" w:rsidRPr="007814DC" w:rsidRDefault="00912216" w:rsidP="0065790B">
      <w:pPr>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993"/>
        <w:gridCol w:w="992"/>
        <w:gridCol w:w="992"/>
        <w:gridCol w:w="992"/>
        <w:gridCol w:w="957"/>
      </w:tblGrid>
      <w:tr w:rsidR="0065790B" w:rsidRPr="0065790B" w:rsidTr="006E1F4A">
        <w:tc>
          <w:tcPr>
            <w:tcW w:w="3652" w:type="dxa"/>
            <w:shd w:val="clear" w:color="auto" w:fill="auto"/>
          </w:tcPr>
          <w:p w:rsidR="0065790B" w:rsidRPr="0065790B" w:rsidRDefault="0065790B" w:rsidP="00912216">
            <w:pPr>
              <w:autoSpaceDE w:val="0"/>
              <w:autoSpaceDN w:val="0"/>
              <w:adjustRightInd w:val="0"/>
              <w:jc w:val="center"/>
              <w:rPr>
                <w:sz w:val="20"/>
                <w:szCs w:val="20"/>
                <w:highlight w:val="yellow"/>
              </w:rPr>
            </w:pPr>
            <w:r w:rsidRPr="00912216">
              <w:rPr>
                <w:sz w:val="20"/>
                <w:szCs w:val="20"/>
              </w:rPr>
              <w:t>Показатель результативности</w:t>
            </w:r>
          </w:p>
        </w:tc>
        <w:tc>
          <w:tcPr>
            <w:tcW w:w="992" w:type="dxa"/>
            <w:shd w:val="clear" w:color="auto" w:fill="auto"/>
          </w:tcPr>
          <w:p w:rsidR="0065790B" w:rsidRPr="00912216" w:rsidRDefault="0065790B" w:rsidP="00912216">
            <w:pPr>
              <w:autoSpaceDE w:val="0"/>
              <w:autoSpaceDN w:val="0"/>
              <w:adjustRightInd w:val="0"/>
              <w:ind w:left="-52" w:right="-70"/>
              <w:jc w:val="center"/>
            </w:pPr>
            <w:r w:rsidRPr="00912216">
              <w:t>2010</w:t>
            </w:r>
            <w:r w:rsidR="00912216" w:rsidRPr="00912216">
              <w:t xml:space="preserve"> </w:t>
            </w:r>
            <w:r w:rsidRPr="00912216">
              <w:rPr>
                <w:sz w:val="18"/>
                <w:szCs w:val="18"/>
              </w:rPr>
              <w:t>(базовый период)</w:t>
            </w:r>
          </w:p>
        </w:tc>
        <w:tc>
          <w:tcPr>
            <w:tcW w:w="993" w:type="dxa"/>
            <w:shd w:val="clear" w:color="auto" w:fill="auto"/>
          </w:tcPr>
          <w:p w:rsidR="0065790B" w:rsidRPr="00912216" w:rsidRDefault="0065790B" w:rsidP="00912216">
            <w:pPr>
              <w:autoSpaceDE w:val="0"/>
              <w:autoSpaceDN w:val="0"/>
              <w:adjustRightInd w:val="0"/>
              <w:jc w:val="center"/>
            </w:pPr>
            <w:r w:rsidRPr="00912216">
              <w:t>2011</w:t>
            </w:r>
          </w:p>
        </w:tc>
        <w:tc>
          <w:tcPr>
            <w:tcW w:w="992" w:type="dxa"/>
            <w:shd w:val="clear" w:color="auto" w:fill="auto"/>
          </w:tcPr>
          <w:p w:rsidR="0065790B" w:rsidRPr="00912216" w:rsidRDefault="0065790B" w:rsidP="00912216">
            <w:pPr>
              <w:autoSpaceDE w:val="0"/>
              <w:autoSpaceDN w:val="0"/>
              <w:adjustRightInd w:val="0"/>
              <w:jc w:val="center"/>
            </w:pPr>
            <w:r w:rsidRPr="00912216">
              <w:t>2012</w:t>
            </w:r>
          </w:p>
        </w:tc>
        <w:tc>
          <w:tcPr>
            <w:tcW w:w="992" w:type="dxa"/>
            <w:shd w:val="clear" w:color="auto" w:fill="auto"/>
          </w:tcPr>
          <w:p w:rsidR="0065790B" w:rsidRPr="00912216" w:rsidRDefault="0065790B" w:rsidP="00912216">
            <w:pPr>
              <w:autoSpaceDE w:val="0"/>
              <w:autoSpaceDN w:val="0"/>
              <w:adjustRightInd w:val="0"/>
              <w:jc w:val="center"/>
            </w:pPr>
            <w:r w:rsidRPr="00912216">
              <w:t>2013</w:t>
            </w:r>
          </w:p>
        </w:tc>
        <w:tc>
          <w:tcPr>
            <w:tcW w:w="992" w:type="dxa"/>
            <w:shd w:val="clear" w:color="auto" w:fill="auto"/>
          </w:tcPr>
          <w:p w:rsidR="0065790B" w:rsidRPr="00912216" w:rsidRDefault="0065790B" w:rsidP="00912216">
            <w:pPr>
              <w:autoSpaceDE w:val="0"/>
              <w:autoSpaceDN w:val="0"/>
              <w:adjustRightInd w:val="0"/>
              <w:jc w:val="center"/>
            </w:pPr>
            <w:r w:rsidRPr="00912216">
              <w:t>2014</w:t>
            </w:r>
          </w:p>
        </w:tc>
        <w:tc>
          <w:tcPr>
            <w:tcW w:w="957" w:type="dxa"/>
            <w:shd w:val="clear" w:color="auto" w:fill="auto"/>
          </w:tcPr>
          <w:p w:rsidR="0065790B" w:rsidRPr="00912216" w:rsidRDefault="0065790B" w:rsidP="00912216">
            <w:pPr>
              <w:autoSpaceDE w:val="0"/>
              <w:autoSpaceDN w:val="0"/>
              <w:adjustRightInd w:val="0"/>
              <w:jc w:val="center"/>
            </w:pPr>
            <w:r w:rsidRPr="00912216">
              <w:t>2015</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b/>
                <w:sz w:val="20"/>
                <w:szCs w:val="20"/>
              </w:rPr>
            </w:pPr>
            <w:r w:rsidRPr="006E1F4A">
              <w:rPr>
                <w:b/>
                <w:sz w:val="20"/>
                <w:szCs w:val="20"/>
              </w:rPr>
              <w:t xml:space="preserve">1.Налоговые доходы, </w:t>
            </w:r>
            <w:r w:rsidRPr="006E1F4A">
              <w:rPr>
                <w:sz w:val="20"/>
                <w:szCs w:val="20"/>
              </w:rPr>
              <w:t>тыс. рублей</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48668</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55803</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70601</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80249</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76513</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75248</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темп роста налоговых доходов по отношению к 2010г.,%</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14,7</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45,1</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64,9</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57,2</w:t>
            </w:r>
          </w:p>
        </w:tc>
        <w:tc>
          <w:tcPr>
            <w:tcW w:w="957"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54,6</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плановый темп роста, утвержденный Программой, %</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14,6</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45,1</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50</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58</w:t>
            </w:r>
          </w:p>
        </w:tc>
        <w:tc>
          <w:tcPr>
            <w:tcW w:w="957"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67,2</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sz w:val="20"/>
                <w:szCs w:val="20"/>
              </w:rPr>
            </w:pPr>
            <w:r w:rsidRPr="006E1F4A">
              <w:rPr>
                <w:b/>
                <w:sz w:val="20"/>
                <w:szCs w:val="20"/>
              </w:rPr>
              <w:t xml:space="preserve">2.Доходы от использования муниципального имущества, </w:t>
            </w:r>
            <w:r w:rsidRPr="006E1F4A">
              <w:rPr>
                <w:sz w:val="20"/>
                <w:szCs w:val="20"/>
              </w:rPr>
              <w:t>тыс. руб</w:t>
            </w:r>
            <w:r w:rsidR="006E1F4A">
              <w:rPr>
                <w:sz w:val="20"/>
                <w:szCs w:val="20"/>
              </w:rPr>
              <w:t>лей</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3663,9</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4135</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4915</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4926</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5174</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7264</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темп роста доходов по отношению к 2010г,%</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12,9</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34,1</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34,4</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41,2</w:t>
            </w:r>
          </w:p>
        </w:tc>
        <w:tc>
          <w:tcPr>
            <w:tcW w:w="957"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98,2</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плановый темп роста, утвержденный Программой,</w:t>
            </w:r>
            <w:r w:rsidR="006E1F4A">
              <w:rPr>
                <w:i/>
                <w:sz w:val="20"/>
                <w:szCs w:val="20"/>
              </w:rPr>
              <w:t xml:space="preserve"> </w:t>
            </w:r>
            <w:r w:rsidRPr="006E1F4A">
              <w:rPr>
                <w:i/>
                <w:sz w:val="20"/>
                <w:szCs w:val="20"/>
              </w:rPr>
              <w:t>%</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12,9</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34,1</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14</w:t>
            </w:r>
          </w:p>
        </w:tc>
        <w:tc>
          <w:tcPr>
            <w:tcW w:w="992"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12,7</w:t>
            </w:r>
          </w:p>
        </w:tc>
        <w:tc>
          <w:tcPr>
            <w:tcW w:w="957" w:type="dxa"/>
            <w:shd w:val="clear" w:color="auto" w:fill="auto"/>
            <w:vAlign w:val="center"/>
          </w:tcPr>
          <w:p w:rsidR="0065790B" w:rsidRPr="00912216" w:rsidRDefault="0065790B" w:rsidP="00293C45">
            <w:pPr>
              <w:autoSpaceDE w:val="0"/>
              <w:autoSpaceDN w:val="0"/>
              <w:adjustRightInd w:val="0"/>
              <w:jc w:val="center"/>
              <w:rPr>
                <w:i/>
                <w:sz w:val="22"/>
                <w:szCs w:val="22"/>
              </w:rPr>
            </w:pPr>
            <w:r w:rsidRPr="00912216">
              <w:rPr>
                <w:i/>
                <w:sz w:val="22"/>
                <w:szCs w:val="22"/>
              </w:rPr>
              <w:t xml:space="preserve">18,2  </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b/>
                <w:sz w:val="20"/>
                <w:szCs w:val="20"/>
              </w:rPr>
            </w:pPr>
            <w:r w:rsidRPr="006E1F4A">
              <w:rPr>
                <w:b/>
                <w:sz w:val="20"/>
                <w:szCs w:val="20"/>
              </w:rPr>
              <w:t xml:space="preserve">3.Просроченная кредиторская задолженность, </w:t>
            </w:r>
            <w:r w:rsidRPr="006E1F4A">
              <w:rPr>
                <w:sz w:val="20"/>
                <w:szCs w:val="20"/>
              </w:rPr>
              <w:t>тыс. рублей</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53470,7</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51934,6</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16127,3</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11679,9</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3372,3</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9786,8</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Темп снижения к 2010г., %</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2,9</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70</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78</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94</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82</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плановый темп снижения, утвержденный Программой, %</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10</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10</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10</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20</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b/>
                <w:sz w:val="20"/>
                <w:szCs w:val="20"/>
              </w:rPr>
            </w:pPr>
            <w:r w:rsidRPr="006E1F4A">
              <w:rPr>
                <w:b/>
                <w:sz w:val="20"/>
                <w:szCs w:val="20"/>
              </w:rPr>
              <w:t>4.Доля программных расходов в бюджете, %</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1,6</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2,2</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1,8</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1,6</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0,4</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1,2</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i/>
                <w:sz w:val="20"/>
                <w:szCs w:val="20"/>
              </w:rPr>
            </w:pPr>
            <w:r w:rsidRPr="006E1F4A">
              <w:rPr>
                <w:i/>
                <w:sz w:val="20"/>
                <w:szCs w:val="20"/>
              </w:rPr>
              <w:t>Плановый темп роста программных расходов, %</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15</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10</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10</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30</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b/>
                <w:sz w:val="20"/>
                <w:szCs w:val="20"/>
              </w:rPr>
            </w:pPr>
            <w:r w:rsidRPr="006E1F4A">
              <w:rPr>
                <w:b/>
                <w:sz w:val="20"/>
                <w:szCs w:val="20"/>
              </w:rPr>
              <w:t>5.Муниципальный долг</w:t>
            </w:r>
            <w:r w:rsidR="006E1F4A">
              <w:rPr>
                <w:b/>
                <w:sz w:val="20"/>
                <w:szCs w:val="20"/>
              </w:rPr>
              <w:t xml:space="preserve">, </w:t>
            </w:r>
            <w:r w:rsidR="006E1F4A" w:rsidRPr="006E1F4A">
              <w:rPr>
                <w:sz w:val="20"/>
                <w:szCs w:val="20"/>
              </w:rPr>
              <w:t>тыс. рублей</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34309,5</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27063</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0</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17374</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30458</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39943,6</w:t>
            </w:r>
          </w:p>
        </w:tc>
      </w:tr>
      <w:tr w:rsidR="0065790B" w:rsidRPr="0065790B" w:rsidTr="006E1F4A">
        <w:tc>
          <w:tcPr>
            <w:tcW w:w="3652" w:type="dxa"/>
            <w:shd w:val="clear" w:color="auto" w:fill="auto"/>
          </w:tcPr>
          <w:p w:rsidR="0065790B" w:rsidRPr="006E1F4A" w:rsidRDefault="0065790B" w:rsidP="006E1F4A">
            <w:pPr>
              <w:autoSpaceDE w:val="0"/>
              <w:autoSpaceDN w:val="0"/>
              <w:adjustRightInd w:val="0"/>
              <w:jc w:val="both"/>
              <w:rPr>
                <w:b/>
                <w:sz w:val="20"/>
                <w:szCs w:val="20"/>
              </w:rPr>
            </w:pPr>
            <w:r w:rsidRPr="006E1F4A">
              <w:rPr>
                <w:b/>
                <w:sz w:val="20"/>
                <w:szCs w:val="20"/>
              </w:rPr>
              <w:t>результат исполнения бюджета: + профицит, -</w:t>
            </w:r>
            <w:r w:rsidR="006E1F4A">
              <w:rPr>
                <w:b/>
                <w:sz w:val="20"/>
                <w:szCs w:val="20"/>
              </w:rPr>
              <w:t xml:space="preserve"> </w:t>
            </w:r>
            <w:r w:rsidRPr="006E1F4A">
              <w:rPr>
                <w:b/>
                <w:sz w:val="20"/>
                <w:szCs w:val="20"/>
              </w:rPr>
              <w:t>дефицит</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+3702,4</w:t>
            </w:r>
          </w:p>
        </w:tc>
        <w:tc>
          <w:tcPr>
            <w:tcW w:w="993"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+7085</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+5154</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-21950</w:t>
            </w:r>
          </w:p>
        </w:tc>
        <w:tc>
          <w:tcPr>
            <w:tcW w:w="992"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-14901</w:t>
            </w:r>
          </w:p>
        </w:tc>
        <w:tc>
          <w:tcPr>
            <w:tcW w:w="957" w:type="dxa"/>
            <w:shd w:val="clear" w:color="auto" w:fill="auto"/>
            <w:vAlign w:val="center"/>
          </w:tcPr>
          <w:p w:rsidR="0065790B" w:rsidRPr="00912216" w:rsidRDefault="0065790B" w:rsidP="00293C45">
            <w:pPr>
              <w:autoSpaceDE w:val="0"/>
              <w:autoSpaceDN w:val="0"/>
              <w:adjustRightInd w:val="0"/>
              <w:jc w:val="center"/>
              <w:rPr>
                <w:sz w:val="22"/>
                <w:szCs w:val="22"/>
              </w:rPr>
            </w:pPr>
            <w:r w:rsidRPr="00912216">
              <w:rPr>
                <w:sz w:val="22"/>
                <w:szCs w:val="22"/>
              </w:rPr>
              <w:t>-5948</w:t>
            </w:r>
          </w:p>
        </w:tc>
      </w:tr>
    </w:tbl>
    <w:p w:rsidR="0065790B" w:rsidRPr="0065790B" w:rsidRDefault="0065790B" w:rsidP="0065790B">
      <w:pPr>
        <w:autoSpaceDE w:val="0"/>
        <w:autoSpaceDN w:val="0"/>
        <w:adjustRightInd w:val="0"/>
        <w:ind w:firstLine="708"/>
        <w:jc w:val="both"/>
        <w:rPr>
          <w:highlight w:val="yellow"/>
        </w:rPr>
      </w:pPr>
    </w:p>
    <w:p w:rsidR="0065790B" w:rsidRPr="00186AED" w:rsidRDefault="0065790B" w:rsidP="0065790B">
      <w:pPr>
        <w:autoSpaceDE w:val="0"/>
        <w:autoSpaceDN w:val="0"/>
        <w:adjustRightInd w:val="0"/>
        <w:ind w:firstLine="567"/>
        <w:jc w:val="both"/>
      </w:pPr>
      <w:r w:rsidRPr="006E1F4A">
        <w:t xml:space="preserve">Проведенный анализ показал, что не все показатели результативности достигнуты. </w:t>
      </w:r>
      <w:r w:rsidRPr="00186AED">
        <w:t>Так</w:t>
      </w:r>
      <w:r w:rsidRPr="00186AED">
        <w:rPr>
          <w:u w:val="single"/>
        </w:rPr>
        <w:t xml:space="preserve">, первый показатель – налоговые доходы - </w:t>
      </w:r>
      <w:r w:rsidRPr="00186AED">
        <w:t xml:space="preserve"> ежегодно увеличивался по отношению к базовому периоду, но </w:t>
      </w:r>
      <w:r w:rsidRPr="00186AED">
        <w:rPr>
          <w:b/>
        </w:rPr>
        <w:t>темпы роста в 2014 и 2015гг. оказались ниже запланированных</w:t>
      </w:r>
      <w:r w:rsidRPr="00186AED">
        <w:t>. Например, в 2015</w:t>
      </w:r>
      <w:r w:rsidR="00186AED" w:rsidRPr="00186AED">
        <w:t xml:space="preserve"> </w:t>
      </w:r>
      <w:r w:rsidRPr="00186AED">
        <w:t>году предусмотренный Программой темп роста налоговых доходов по отношению к 2010</w:t>
      </w:r>
      <w:r w:rsidR="00186AED" w:rsidRPr="00186AED">
        <w:t xml:space="preserve"> </w:t>
      </w:r>
      <w:r w:rsidRPr="00186AED">
        <w:t>году – 67,2%, а фактически налоговые доходы возросли на 54,6%. Кроме того, в 2014 и 2015 годах поступление налоговых доходов снизилось по сравнению с 2013</w:t>
      </w:r>
      <w:r w:rsidR="00186AED" w:rsidRPr="00186AED">
        <w:t xml:space="preserve"> </w:t>
      </w:r>
      <w:r w:rsidRPr="00186AED">
        <w:t xml:space="preserve">годом. </w:t>
      </w:r>
    </w:p>
    <w:p w:rsidR="0065790B" w:rsidRPr="0065790B" w:rsidRDefault="0065790B" w:rsidP="0065790B">
      <w:pPr>
        <w:autoSpaceDE w:val="0"/>
        <w:autoSpaceDN w:val="0"/>
        <w:adjustRightInd w:val="0"/>
        <w:ind w:firstLine="567"/>
        <w:jc w:val="both"/>
        <w:rPr>
          <w:b/>
          <w:highlight w:val="yellow"/>
        </w:rPr>
      </w:pPr>
      <w:r w:rsidRPr="000816DE">
        <w:rPr>
          <w:u w:val="single"/>
        </w:rPr>
        <w:t>Второй показатель  результативности достигнут:</w:t>
      </w:r>
      <w:r w:rsidR="000816DE" w:rsidRPr="000816DE">
        <w:rPr>
          <w:u w:val="single"/>
        </w:rPr>
        <w:t xml:space="preserve"> </w:t>
      </w:r>
      <w:r w:rsidRPr="000816DE">
        <w:rPr>
          <w:u w:val="single"/>
        </w:rPr>
        <w:t>доходы от использования муниципального имущества</w:t>
      </w:r>
      <w:r w:rsidRPr="000816DE">
        <w:t>, поступающие в бюджет района, ежегодно увеличивались, и в 2015г. темп роста по отношению к 2010г. составил 98,2% (план – 18,2%), то есть доходы увеличились почти в два раза. Но необходимо отметить, что изначально паспортом Программы темпы роста доходов от использования муниципального имущества прогнозировались незначительные и даже с понижением, например, к 2012году, 2013 году. Так, если темп роста данного доходного источника в 2012</w:t>
      </w:r>
      <w:r w:rsidR="000816DE" w:rsidRPr="000816DE">
        <w:t xml:space="preserve"> </w:t>
      </w:r>
      <w:r w:rsidRPr="000816DE">
        <w:t xml:space="preserve">году по отношению к базовому 2010 году определен в размере 34,1%, то в 2013г. – 14%, а в 2014 г. – 12,7%, а </w:t>
      </w:r>
      <w:r w:rsidRPr="000816DE">
        <w:lastRenderedPageBreak/>
        <w:t xml:space="preserve">это означает снижение данных поступлений в 2013 и 2014гг. </w:t>
      </w:r>
      <w:r w:rsidRPr="000816DE">
        <w:rPr>
          <w:b/>
        </w:rPr>
        <w:t>Таким образом, установленные паспортом Программы  индикаторы не направлены на решение задачи по увеличению доходов района бюджета, а, наоборот, даже противоречат, поскольку планируется их снижение.</w:t>
      </w:r>
    </w:p>
    <w:p w:rsidR="0065790B" w:rsidRPr="0065790B" w:rsidRDefault="0065790B" w:rsidP="0065790B">
      <w:pPr>
        <w:autoSpaceDE w:val="0"/>
        <w:autoSpaceDN w:val="0"/>
        <w:adjustRightInd w:val="0"/>
        <w:ind w:firstLine="567"/>
        <w:jc w:val="both"/>
        <w:rPr>
          <w:highlight w:val="yellow"/>
        </w:rPr>
      </w:pPr>
      <w:r w:rsidRPr="000816DE">
        <w:t xml:space="preserve">Анализ достижения </w:t>
      </w:r>
      <w:r w:rsidRPr="000816DE">
        <w:rPr>
          <w:u w:val="single"/>
        </w:rPr>
        <w:t>следующего показателя результативности «просроченная кредиторская задолженность</w:t>
      </w:r>
      <w:r w:rsidRPr="000816DE">
        <w:t>» показал, что действительно, по сравнению с 2010 годом произошло значительное снижение просроченной кредиторской задолженности. Следует отметить, что большая часть просроченной кредиторской задолженности была реструктуризирована. Так, при запланированных темпах ежегодного снижения в 10%, фактически задолженность в 2012</w:t>
      </w:r>
      <w:r w:rsidR="000816DE" w:rsidRPr="000816DE">
        <w:t xml:space="preserve"> </w:t>
      </w:r>
      <w:r w:rsidRPr="000816DE">
        <w:t>году снизилась на 70%, в 2013г. – на 78%, в 2014г. – на 94%. Однако, в 2015</w:t>
      </w:r>
      <w:r w:rsidR="000816DE" w:rsidRPr="000816DE">
        <w:t xml:space="preserve"> </w:t>
      </w:r>
      <w:r w:rsidRPr="000816DE">
        <w:t>году по сравнению с предыдущим 2014 годом наблюдается увеличение просроченной кредиторской задолженности на 6414,5 тыс. руб</w:t>
      </w:r>
      <w:r w:rsidR="000816DE" w:rsidRPr="000816DE">
        <w:t>лей</w:t>
      </w:r>
      <w:r w:rsidRPr="000816DE">
        <w:t>, или в три раза.</w:t>
      </w:r>
    </w:p>
    <w:p w:rsidR="0065790B" w:rsidRPr="000816DE" w:rsidRDefault="0065790B" w:rsidP="0065790B">
      <w:pPr>
        <w:autoSpaceDE w:val="0"/>
        <w:autoSpaceDN w:val="0"/>
        <w:adjustRightInd w:val="0"/>
        <w:ind w:firstLine="567"/>
        <w:jc w:val="both"/>
      </w:pPr>
      <w:r w:rsidRPr="000816DE">
        <w:rPr>
          <w:u w:val="single"/>
        </w:rPr>
        <w:t>Показатель «доля программно-целевых расходов в общих расходах бюджета района» не достигнут</w:t>
      </w:r>
      <w:r w:rsidRPr="000816DE">
        <w:t>. Согласно паспорта Программы, в 2015</w:t>
      </w:r>
      <w:r w:rsidR="000816DE" w:rsidRPr="000816DE">
        <w:t xml:space="preserve"> </w:t>
      </w:r>
      <w:r w:rsidRPr="000816DE">
        <w:t>году доля программных расходов бюджета должна была увеличиться по отношению к 2010 году на 30%, однако, программные расходы не только не увеличились, но и уменьшились на 25% и составили 1,2%. В 201</w:t>
      </w:r>
      <w:r w:rsidR="000816DE" w:rsidRPr="000816DE">
        <w:t>1</w:t>
      </w:r>
      <w:r w:rsidRPr="000816DE">
        <w:t xml:space="preserve">г. доля программных расходов в бюджете составила 2,2%, в остальные года реализации Программы, данный показатель не превышал 2%. Таким  образом, </w:t>
      </w:r>
      <w:r w:rsidRPr="000816DE">
        <w:rPr>
          <w:b/>
        </w:rPr>
        <w:t>анализ индикатора «доля программно-целевых расходов в общих расходах бюджета района» свидетельствует о том, что поставленная задача 2.2. «Развитие бюджетирования, ориентированного на результат» не решена.</w:t>
      </w:r>
    </w:p>
    <w:p w:rsidR="0065790B" w:rsidRPr="005023F8" w:rsidRDefault="0065790B" w:rsidP="0065790B">
      <w:pPr>
        <w:autoSpaceDE w:val="0"/>
        <w:autoSpaceDN w:val="0"/>
        <w:adjustRightInd w:val="0"/>
        <w:ind w:firstLine="567"/>
        <w:jc w:val="both"/>
      </w:pPr>
      <w:r w:rsidRPr="005023F8">
        <w:t xml:space="preserve">Решение поставленной задачи по повышению результативности муниципального финансового контроля отражает </w:t>
      </w:r>
      <w:r w:rsidRPr="005023F8">
        <w:rPr>
          <w:u w:val="single"/>
        </w:rPr>
        <w:t>индикатор «Увеличение охвата муниципальных учреждений муниципальным финансовым контролем»</w:t>
      </w:r>
      <w:r w:rsidRPr="005023F8">
        <w:t xml:space="preserve">, темп роста которого запланирован на 2011г. 10%, на 2012г. 15%, на 2013г. 10%, на 2014г. 15%, на 2015г. 35%. Однако, ежегодно КСП района по результатам проведения внешней проверки годового отчета по исполнению бюджета отмечалось, </w:t>
      </w:r>
      <w:r w:rsidRPr="005023F8">
        <w:rPr>
          <w:b/>
        </w:rPr>
        <w:t>что внутренний финансовый контроль администраторами средств бюджета не обеспечен.</w:t>
      </w:r>
      <w:r w:rsidR="005023F8" w:rsidRPr="005023F8">
        <w:rPr>
          <w:b/>
        </w:rPr>
        <w:t xml:space="preserve"> </w:t>
      </w:r>
      <w:r w:rsidRPr="005023F8">
        <w:rPr>
          <w:b/>
        </w:rPr>
        <w:t>КСП рекомендовано</w:t>
      </w:r>
      <w:r w:rsidR="005023F8" w:rsidRPr="005023F8">
        <w:rPr>
          <w:b/>
        </w:rPr>
        <w:t xml:space="preserve"> </w:t>
      </w:r>
      <w:r w:rsidRPr="005023F8">
        <w:rPr>
          <w:b/>
        </w:rPr>
        <w:t>принять меры по формированию единой целостной системы внутреннего финансового контроля, разработать и утвердить нормативные методические документы, направленные на обеспечение внутреннего финансового контроля и внутреннего финансового аудита в соответствии с  нормами  ст.</w:t>
      </w:r>
      <w:r w:rsidR="005023F8" w:rsidRPr="005023F8">
        <w:rPr>
          <w:b/>
        </w:rPr>
        <w:t xml:space="preserve"> 160.2-1 Бюджетного кодекса РФ </w:t>
      </w:r>
      <w:r w:rsidRPr="005023F8">
        <w:t>(Заключение КСП № 06</w:t>
      </w:r>
      <w:r w:rsidR="005023F8" w:rsidRPr="005023F8">
        <w:t xml:space="preserve"> от 23.03.2015г. </w:t>
      </w:r>
      <w:r w:rsidRPr="005023F8">
        <w:t>по результатам внешней проверки годового отчета об исполнении бюджета МО Куйтунский район за 2014 год, Заключение КСП № 13</w:t>
      </w:r>
      <w:r w:rsidR="005023F8" w:rsidRPr="005023F8">
        <w:t xml:space="preserve"> от 01.04.2016г. </w:t>
      </w:r>
      <w:r w:rsidRPr="005023F8">
        <w:t>по результатам внешней проверки годового отчета об исполнении бюджета МО Куйтунский район за 2015 год).</w:t>
      </w:r>
    </w:p>
    <w:p w:rsidR="0065790B" w:rsidRPr="005023F8" w:rsidRDefault="0065790B" w:rsidP="0065790B">
      <w:pPr>
        <w:autoSpaceDE w:val="0"/>
        <w:autoSpaceDN w:val="0"/>
        <w:adjustRightInd w:val="0"/>
        <w:ind w:firstLine="567"/>
        <w:jc w:val="both"/>
      </w:pPr>
      <w:r w:rsidRPr="005023F8">
        <w:t>Контрольно-счетной палатой проведен</w:t>
      </w:r>
      <w:r w:rsidR="005023F8" w:rsidRPr="005023F8">
        <w:t xml:space="preserve"> </w:t>
      </w:r>
      <w:r w:rsidRPr="005023F8">
        <w:t>анализ  исполнения мероприятий Программы и пояснений по исполнению и неисполнению на основании представленного ЭУА и КУМИ перечня выполненных (невыполненных) мероприятий.</w:t>
      </w:r>
    </w:p>
    <w:p w:rsidR="0065790B" w:rsidRPr="005023F8" w:rsidRDefault="0065790B" w:rsidP="0065790B">
      <w:pPr>
        <w:autoSpaceDE w:val="0"/>
        <w:autoSpaceDN w:val="0"/>
        <w:adjustRightInd w:val="0"/>
        <w:ind w:firstLine="567"/>
        <w:jc w:val="both"/>
      </w:pPr>
      <w:r w:rsidRPr="005023F8">
        <w:t>Анализ исполнения мероприятий Программы показал, что в приведенной информации по исполнению ряда программных мероприятий изложены декларативные положения, не подтвержденные фактической (в том числе количественной) информацией.</w:t>
      </w:r>
      <w:r w:rsidR="005023F8" w:rsidRPr="005023F8">
        <w:t xml:space="preserve"> </w:t>
      </w:r>
      <w:r w:rsidRPr="005023F8">
        <w:t>Так, например, согласно</w:t>
      </w:r>
      <w:r w:rsidR="005023F8" w:rsidRPr="005023F8">
        <w:t xml:space="preserve"> </w:t>
      </w:r>
      <w:r w:rsidRPr="005023F8">
        <w:t>перечню исполнения мероприятий Программы Комитетом по управлению муниципальным имуществом исполнено 10 мероприятий, при этом отмечено, что работа проводится постоянно, то есть программные мероприятия являются постоянной текущей работой КУМИ.</w:t>
      </w:r>
      <w:r w:rsidR="005023F8" w:rsidRPr="005023F8">
        <w:t xml:space="preserve"> </w:t>
      </w:r>
      <w:r w:rsidRPr="005023F8">
        <w:t>Экономическим управлением представлена информация о 13 мероприятиях, два из которых не исполнены: создание и внедрение автоматизированной системы планирования бюджета района; разработка порядка стимулирования ГРБС к повышению качества оказываемых услуг и эффективности бюджетных расходов по результатам оценки качества финансового менеджмента.</w:t>
      </w:r>
      <w:r w:rsidR="005023F8" w:rsidRPr="005023F8">
        <w:t xml:space="preserve"> </w:t>
      </w:r>
      <w:r w:rsidRPr="005023F8">
        <w:t xml:space="preserve">Согласно письменным пояснениям, причина неисполнения данных мероприятий - «несбалансированность бюджета». По исполненным мероприятиям не приведены количественные показатели, подтверждающие достижение конкретных результатов в рамках реализации Программы. </w:t>
      </w:r>
      <w:r w:rsidRPr="005023F8">
        <w:rPr>
          <w:b/>
        </w:rPr>
        <w:t xml:space="preserve">Таким образом, информация, приведенная по </w:t>
      </w:r>
      <w:r w:rsidRPr="005023F8">
        <w:rPr>
          <w:b/>
        </w:rPr>
        <w:lastRenderedPageBreak/>
        <w:t>исполнению ряда мероприятий, не подтверждает факт их выполнения,  ни по одному из исполненных мероприятий не определен ожидаемый эффект от выполнения мероприятия.</w:t>
      </w:r>
    </w:p>
    <w:p w:rsidR="0065790B" w:rsidRPr="005023F8" w:rsidRDefault="0065790B" w:rsidP="0065790B">
      <w:pPr>
        <w:autoSpaceDE w:val="0"/>
        <w:autoSpaceDN w:val="0"/>
        <w:adjustRightInd w:val="0"/>
        <w:ind w:firstLine="567"/>
        <w:jc w:val="both"/>
      </w:pPr>
      <w:r w:rsidRPr="005023F8">
        <w:t>Из 49 мероприятий Программы только по одному мероприятию «оплата коммунальных услуг бюджетных и казенных учреждений» определен ожидаемый конечный результат</w:t>
      </w:r>
      <w:r w:rsidRPr="005023F8">
        <w:rPr>
          <w:u w:val="single"/>
        </w:rPr>
        <w:t>: недопущение кредиторской задолженности</w:t>
      </w:r>
      <w:r w:rsidRPr="005023F8">
        <w:t>. Однако, исполнение этого мероприятия не привело к ожидаемому результату. Так, кредиторская задолженность по оплате коммунальных услуг по данным годовых отчетов об исполнении бюджета по состоянию на 01.01.2014г. составляла 5579,2 тыс. руб</w:t>
      </w:r>
      <w:r w:rsidR="005023F8" w:rsidRPr="005023F8">
        <w:t>лей</w:t>
      </w:r>
      <w:r w:rsidRPr="005023F8">
        <w:t>, на 01.01.2015г. – 6077,8</w:t>
      </w:r>
      <w:r w:rsidR="005023F8" w:rsidRPr="005023F8">
        <w:t xml:space="preserve"> </w:t>
      </w:r>
      <w:r w:rsidRPr="005023F8">
        <w:t>тыс. руб</w:t>
      </w:r>
      <w:r w:rsidR="005023F8" w:rsidRPr="005023F8">
        <w:t>лей</w:t>
      </w:r>
      <w:r w:rsidRPr="005023F8">
        <w:t>, на 01.01.2016г. – 10421,2</w:t>
      </w:r>
      <w:r w:rsidR="005023F8" w:rsidRPr="005023F8">
        <w:t xml:space="preserve"> </w:t>
      </w:r>
      <w:r w:rsidRPr="005023F8">
        <w:t>тыс. руб</w:t>
      </w:r>
      <w:r w:rsidR="005023F8" w:rsidRPr="005023F8">
        <w:t>лей</w:t>
      </w:r>
      <w:r w:rsidRPr="005023F8">
        <w:t>.</w:t>
      </w:r>
    </w:p>
    <w:p w:rsidR="0065790B" w:rsidRPr="006C2D4C" w:rsidRDefault="0065790B" w:rsidP="0065790B">
      <w:pPr>
        <w:autoSpaceDE w:val="0"/>
        <w:autoSpaceDN w:val="0"/>
        <w:adjustRightInd w:val="0"/>
        <w:ind w:firstLine="567"/>
        <w:jc w:val="both"/>
      </w:pPr>
      <w:r w:rsidRPr="006C2D4C">
        <w:t xml:space="preserve">Постановлением Администрации </w:t>
      </w:r>
      <w:r w:rsidR="006C2D4C" w:rsidRPr="006C2D4C">
        <w:t xml:space="preserve">МО </w:t>
      </w:r>
      <w:r w:rsidRPr="006C2D4C">
        <w:t>Куйтунск</w:t>
      </w:r>
      <w:r w:rsidR="006C2D4C" w:rsidRPr="006C2D4C">
        <w:t>ий</w:t>
      </w:r>
      <w:r w:rsidRPr="006C2D4C">
        <w:t xml:space="preserve"> район от  18 апреля 2014 № 265-п утвержден Порядок разработки, реализации и оценки эффективности реализации муниципальных программ муниципального образования Куйтунский район (далее – Порядок). Согласно данного Порядка ответственный исполнитель совместно с соисполнителями подготавливает и представляет в ЭУА отчет о реализации муниципальной программы:</w:t>
      </w:r>
    </w:p>
    <w:p w:rsidR="0065790B" w:rsidRPr="006C2D4C" w:rsidRDefault="0065790B" w:rsidP="0065790B">
      <w:pPr>
        <w:autoSpaceDE w:val="0"/>
        <w:autoSpaceDN w:val="0"/>
        <w:adjustRightInd w:val="0"/>
        <w:ind w:firstLine="567"/>
        <w:jc w:val="both"/>
      </w:pPr>
      <w:r w:rsidRPr="006C2D4C">
        <w:t>- годовой – ежегодно в срок до 15 марта года, следующего за отчетным годом;</w:t>
      </w:r>
    </w:p>
    <w:p w:rsidR="0065790B" w:rsidRPr="006C2D4C" w:rsidRDefault="0065790B" w:rsidP="0065790B">
      <w:pPr>
        <w:autoSpaceDE w:val="0"/>
        <w:autoSpaceDN w:val="0"/>
        <w:adjustRightInd w:val="0"/>
        <w:ind w:firstLine="567"/>
        <w:jc w:val="both"/>
      </w:pPr>
      <w:r w:rsidRPr="006C2D4C">
        <w:t>- за весь период реализации Программы – в срок до 15 марта года, следующего за последним годом реализации муниципальной программы.</w:t>
      </w:r>
    </w:p>
    <w:p w:rsidR="0065790B" w:rsidRPr="006C2D4C" w:rsidRDefault="0065790B" w:rsidP="0065790B">
      <w:pPr>
        <w:autoSpaceDE w:val="0"/>
        <w:autoSpaceDN w:val="0"/>
        <w:adjustRightInd w:val="0"/>
        <w:ind w:firstLine="567"/>
        <w:jc w:val="both"/>
      </w:pPr>
      <w:r w:rsidRPr="006C2D4C">
        <w:t xml:space="preserve">Однако, </w:t>
      </w:r>
      <w:r w:rsidRPr="006C2D4C">
        <w:rPr>
          <w:b/>
        </w:rPr>
        <w:t>в нарушение Порядка исполнителями Программы (ЭУА и ФУА) ежегодные отчеты о реализации муниципальной программы не подготавливались</w:t>
      </w:r>
      <w:r w:rsidR="006C2D4C" w:rsidRPr="006C2D4C">
        <w:rPr>
          <w:b/>
        </w:rPr>
        <w:t xml:space="preserve"> </w:t>
      </w:r>
      <w:r w:rsidRPr="006C2D4C">
        <w:rPr>
          <w:b/>
        </w:rPr>
        <w:t>(п</w:t>
      </w:r>
      <w:r w:rsidR="008651F4">
        <w:rPr>
          <w:b/>
        </w:rPr>
        <w:t xml:space="preserve">ункт </w:t>
      </w:r>
      <w:r w:rsidRPr="006C2D4C">
        <w:rPr>
          <w:b/>
        </w:rPr>
        <w:t>1.</w:t>
      </w:r>
      <w:r w:rsidR="007F025C">
        <w:rPr>
          <w:b/>
        </w:rPr>
        <w:t>2</w:t>
      </w:r>
      <w:r w:rsidRPr="006C2D4C">
        <w:rPr>
          <w:b/>
        </w:rPr>
        <w:t>.</w:t>
      </w:r>
      <w:r w:rsidR="007F025C">
        <w:rPr>
          <w:b/>
        </w:rPr>
        <w:t>3</w:t>
      </w:r>
      <w:r w:rsidRPr="006C2D4C">
        <w:rPr>
          <w:b/>
        </w:rPr>
        <w:t xml:space="preserve"> Классификатора нарушений).</w:t>
      </w:r>
    </w:p>
    <w:p w:rsidR="0065790B" w:rsidRPr="0065790B" w:rsidRDefault="0065790B" w:rsidP="0065790B">
      <w:pPr>
        <w:widowControl w:val="0"/>
        <w:autoSpaceDE w:val="0"/>
        <w:autoSpaceDN w:val="0"/>
        <w:adjustRightInd w:val="0"/>
        <w:ind w:right="57" w:firstLine="709"/>
        <w:jc w:val="both"/>
        <w:rPr>
          <w:highlight w:val="yellow"/>
        </w:rPr>
      </w:pPr>
    </w:p>
    <w:p w:rsidR="0065790B" w:rsidRPr="006C2D4C" w:rsidRDefault="0065790B" w:rsidP="0065790B">
      <w:pPr>
        <w:widowControl w:val="0"/>
        <w:autoSpaceDE w:val="0"/>
        <w:autoSpaceDN w:val="0"/>
        <w:adjustRightInd w:val="0"/>
        <w:ind w:right="57" w:firstLine="567"/>
        <w:jc w:val="both"/>
      </w:pPr>
      <w:r w:rsidRPr="006C2D4C">
        <w:t>Как показала внешняя проверка исполнения местного бюджета за 2015</w:t>
      </w:r>
      <w:r w:rsidR="006C2D4C" w:rsidRPr="006C2D4C">
        <w:t xml:space="preserve"> </w:t>
      </w:r>
      <w:r w:rsidRPr="006C2D4C">
        <w:t xml:space="preserve">год, основные показатели финансовой устойчивости местного бюджета ухудшились. </w:t>
      </w:r>
    </w:p>
    <w:p w:rsidR="0065790B" w:rsidRPr="00293C45" w:rsidRDefault="0065790B" w:rsidP="0065790B">
      <w:pPr>
        <w:widowControl w:val="0"/>
        <w:autoSpaceDE w:val="0"/>
        <w:autoSpaceDN w:val="0"/>
        <w:adjustRightInd w:val="0"/>
        <w:ind w:right="57" w:firstLine="567"/>
        <w:jc w:val="both"/>
      </w:pPr>
      <w:r w:rsidRPr="006C2D4C">
        <w:t>Бюджет муниципального образования  за 2015 год исполнен  по доходам в сумме 706338</w:t>
      </w:r>
      <w:r w:rsidR="006C2D4C" w:rsidRPr="006C2D4C">
        <w:t xml:space="preserve"> </w:t>
      </w:r>
      <w:r w:rsidRPr="006C2D4C">
        <w:t>тыс.</w:t>
      </w:r>
      <w:r w:rsidR="006C2D4C" w:rsidRPr="006C2D4C">
        <w:t xml:space="preserve"> </w:t>
      </w:r>
      <w:r w:rsidRPr="006C2D4C">
        <w:t>руб</w:t>
      </w:r>
      <w:r w:rsidR="006C2D4C" w:rsidRPr="006C2D4C">
        <w:t>лей</w:t>
      </w:r>
      <w:r w:rsidRPr="006C2D4C">
        <w:t>. По отношению к 2014 году доходная часть бюджета уменьшилась  на 14979 тыс.</w:t>
      </w:r>
      <w:r w:rsidR="006C2D4C" w:rsidRPr="006C2D4C">
        <w:t xml:space="preserve"> </w:t>
      </w:r>
      <w:r w:rsidRPr="006C2D4C">
        <w:t>руб</w:t>
      </w:r>
      <w:r w:rsidR="006C2D4C" w:rsidRPr="006C2D4C">
        <w:t>лей</w:t>
      </w:r>
      <w:r w:rsidRPr="006C2D4C">
        <w:t>, или на 2,1%, в том числе налоговые и неналоговые доходы увеличились на 2948 тыс.</w:t>
      </w:r>
      <w:r w:rsidR="006C2D4C" w:rsidRPr="006C2D4C">
        <w:t xml:space="preserve"> </w:t>
      </w:r>
      <w:r w:rsidRPr="006C2D4C">
        <w:t>руб</w:t>
      </w:r>
      <w:r w:rsidR="006C2D4C" w:rsidRPr="006C2D4C">
        <w:t>лей</w:t>
      </w:r>
      <w:r w:rsidRPr="006C2D4C">
        <w:t>, безвозмездные поступления уменьшились  на 17927 тыс.</w:t>
      </w:r>
      <w:r w:rsidR="006C2D4C" w:rsidRPr="006C2D4C">
        <w:t xml:space="preserve"> </w:t>
      </w:r>
      <w:r w:rsidRPr="006C2D4C">
        <w:t>руб</w:t>
      </w:r>
      <w:r w:rsidR="006C2D4C" w:rsidRPr="006C2D4C">
        <w:t>лей</w:t>
      </w:r>
      <w:r w:rsidRPr="006C2D4C">
        <w:t>. Объем налоговых доходов местного бюджета не только не увеличился, а снизился на 1,6% по сравнению с 2014 годом</w:t>
      </w:r>
      <w:r w:rsidRPr="00293C45">
        <w:t>.</w:t>
      </w:r>
      <w:r w:rsidR="00293C45" w:rsidRPr="00293C45">
        <w:t xml:space="preserve"> </w:t>
      </w:r>
      <w:r w:rsidRPr="00293C45">
        <w:t xml:space="preserve">Доходы местного бюджета от использования имущества, находящегося в муниципальной собственности, увеличились на 40,4% по сравнению с 2014 годом. </w:t>
      </w:r>
    </w:p>
    <w:p w:rsidR="0065790B" w:rsidRPr="00293C45" w:rsidRDefault="0065790B" w:rsidP="0065790B">
      <w:pPr>
        <w:widowControl w:val="0"/>
        <w:autoSpaceDE w:val="0"/>
        <w:autoSpaceDN w:val="0"/>
        <w:adjustRightInd w:val="0"/>
        <w:ind w:right="57" w:firstLine="567"/>
        <w:jc w:val="both"/>
      </w:pPr>
      <w:r w:rsidRPr="00293C45">
        <w:t>Фактически за 2015 год местный бюджет исполнен с 6% дефицитом, на начало действия Программы и последующие два года бюджет исполнялся с профицитом.</w:t>
      </w:r>
    </w:p>
    <w:p w:rsidR="0065790B" w:rsidRPr="00293C45" w:rsidRDefault="0065790B" w:rsidP="0065790B">
      <w:pPr>
        <w:widowControl w:val="0"/>
        <w:autoSpaceDE w:val="0"/>
        <w:autoSpaceDN w:val="0"/>
        <w:adjustRightInd w:val="0"/>
        <w:ind w:right="57" w:firstLine="567"/>
        <w:jc w:val="both"/>
      </w:pPr>
      <w:r w:rsidRPr="00293C45">
        <w:t>В 2015 году объем финансирования муниципальных целевых программ по сравнению с финансированием в начале действия Программы снизился (в 2011г. -2,2%, в 2015г. – 1,2%).  В течение 2015</w:t>
      </w:r>
      <w:r w:rsidR="00293C45" w:rsidRPr="00293C45">
        <w:t xml:space="preserve"> </w:t>
      </w:r>
      <w:r w:rsidRPr="00293C45">
        <w:t>года субсидия Куйтунскому району в рамках областной подпрограммы была распределена только один раз, так как на остальных этапах реализации Подпрограммы муниципальный район не соответствовал критериям отбора для предоставления субсидии (имелась просроченная кредиторская задолженность), в связи с чем недополучено в районный бюджет 15000</w:t>
      </w:r>
      <w:r w:rsidR="00293C45" w:rsidRPr="00293C45">
        <w:t xml:space="preserve"> </w:t>
      </w:r>
      <w:r w:rsidRPr="00293C45">
        <w:t>тыс. руб</w:t>
      </w:r>
      <w:r w:rsidR="00293C45" w:rsidRPr="00293C45">
        <w:t>лей</w:t>
      </w:r>
      <w:r w:rsidRPr="00293C45">
        <w:t xml:space="preserve">. </w:t>
      </w:r>
    </w:p>
    <w:p w:rsidR="0065790B" w:rsidRPr="00FC0DC8" w:rsidRDefault="0065790B" w:rsidP="005C75F8">
      <w:pPr>
        <w:widowControl w:val="0"/>
        <w:autoSpaceDE w:val="0"/>
        <w:autoSpaceDN w:val="0"/>
        <w:adjustRightInd w:val="0"/>
        <w:ind w:right="57" w:firstLine="567"/>
        <w:jc w:val="both"/>
      </w:pPr>
      <w:r w:rsidRPr="00FC0DC8">
        <w:t xml:space="preserve">В 2015 году объем муниципального долга по сравнению с 2014 годом увеличился на 31% (например, в 2012 году муниципальный долг отсутствовал). </w:t>
      </w:r>
    </w:p>
    <w:p w:rsidR="0065790B" w:rsidRPr="00FC0DC8" w:rsidRDefault="0065790B" w:rsidP="005C75F8">
      <w:pPr>
        <w:widowControl w:val="0"/>
        <w:autoSpaceDE w:val="0"/>
        <w:autoSpaceDN w:val="0"/>
        <w:adjustRightInd w:val="0"/>
        <w:ind w:right="57" w:firstLine="567"/>
        <w:jc w:val="both"/>
      </w:pPr>
      <w:r w:rsidRPr="00FC0DC8">
        <w:t>Просроченная кредиторская задолженность муниципального образования в течение 2015 года по сравнению с 2014</w:t>
      </w:r>
      <w:r w:rsidR="00FC0DC8" w:rsidRPr="00FC0DC8">
        <w:t xml:space="preserve"> </w:t>
      </w:r>
      <w:r w:rsidRPr="00FC0DC8">
        <w:t>г</w:t>
      </w:r>
      <w:r w:rsidR="00FC0DC8" w:rsidRPr="00FC0DC8">
        <w:t>одом</w:t>
      </w:r>
      <w:r w:rsidRPr="00FC0DC8">
        <w:t xml:space="preserve"> увеличилась на 6414,5</w:t>
      </w:r>
      <w:r w:rsidR="00FC0DC8" w:rsidRPr="00FC0DC8">
        <w:t xml:space="preserve"> </w:t>
      </w:r>
      <w:r w:rsidRPr="00FC0DC8">
        <w:t>тыс.</w:t>
      </w:r>
      <w:r w:rsidR="00C31FD4">
        <w:t xml:space="preserve"> </w:t>
      </w:r>
      <w:r w:rsidRPr="00FC0DC8">
        <w:t>руб</w:t>
      </w:r>
      <w:r w:rsidR="00FC0DC8" w:rsidRPr="00FC0DC8">
        <w:t>лей</w:t>
      </w:r>
      <w:r w:rsidRPr="00FC0DC8">
        <w:t xml:space="preserve">,  или в три раза.  </w:t>
      </w:r>
    </w:p>
    <w:p w:rsidR="0065790B" w:rsidRPr="00FC0DC8" w:rsidRDefault="0065790B" w:rsidP="0065790B">
      <w:pPr>
        <w:widowControl w:val="0"/>
        <w:autoSpaceDE w:val="0"/>
        <w:autoSpaceDN w:val="0"/>
        <w:adjustRightInd w:val="0"/>
        <w:ind w:right="57" w:firstLine="567"/>
        <w:jc w:val="both"/>
      </w:pPr>
      <w:r w:rsidRPr="00FC0DC8">
        <w:rPr>
          <w:b/>
        </w:rPr>
        <w:t>Аудит результативности</w:t>
      </w:r>
      <w:r w:rsidRPr="00FC0DC8">
        <w:t xml:space="preserve"> – оценка соответствия результатов выполнения Программы установленным в ней целям. На основании оценки соответствия результатов выполнения Программы, установленным в ней целям следует, что согласно Индикаторам достижения поставленных целей и решения задач Программы, плановые показатели индикаторов достигнуты не в полной мере. Анализ Программы показал отсутствие взаимосвязи между финансовым обеспечением Программы и достижением предусмотренных её показателей эффективности.</w:t>
      </w:r>
    </w:p>
    <w:p w:rsidR="0065790B" w:rsidRPr="00FC0DC8" w:rsidRDefault="0065790B" w:rsidP="0065790B">
      <w:pPr>
        <w:widowControl w:val="0"/>
        <w:autoSpaceDE w:val="0"/>
        <w:autoSpaceDN w:val="0"/>
        <w:adjustRightInd w:val="0"/>
        <w:ind w:right="57" w:firstLine="567"/>
        <w:jc w:val="both"/>
      </w:pPr>
      <w:r w:rsidRPr="00FC0DC8">
        <w:rPr>
          <w:b/>
        </w:rPr>
        <w:t>Экономичность</w:t>
      </w:r>
      <w:r w:rsidRPr="00FC0DC8">
        <w:t xml:space="preserve"> характеризует взаимосвязь между объемом средств местного бюджета, использованных на мероприятия программы и достигнутым уровнем </w:t>
      </w:r>
      <w:r w:rsidRPr="00FC0DC8">
        <w:lastRenderedPageBreak/>
        <w:t>использования  востребованных, функционирующих, находящихся в рабочем состоянии товаров, работ. В ходе аудита эффективности установлено, что средства Программы</w:t>
      </w:r>
      <w:r w:rsidR="00FC0DC8" w:rsidRPr="00FC0DC8">
        <w:t xml:space="preserve"> </w:t>
      </w:r>
      <w:r w:rsidRPr="00FC0DC8">
        <w:t xml:space="preserve">направлены на </w:t>
      </w:r>
      <w:r w:rsidR="00FC0DC8" w:rsidRPr="00FC0DC8">
        <w:t>о</w:t>
      </w:r>
      <w:r w:rsidRPr="00FC0DC8">
        <w:t>плату расходных обязательств, связанных с содержанием органов власти, учреждений образования и культуры (оплата труда, коммунальные услуги и др.).</w:t>
      </w:r>
    </w:p>
    <w:p w:rsidR="0065790B" w:rsidRDefault="0065790B" w:rsidP="0065790B">
      <w:pPr>
        <w:widowControl w:val="0"/>
        <w:autoSpaceDE w:val="0"/>
        <w:autoSpaceDN w:val="0"/>
        <w:adjustRightInd w:val="0"/>
        <w:ind w:right="57" w:firstLine="567"/>
        <w:jc w:val="both"/>
      </w:pPr>
      <w:r w:rsidRPr="00FC0DC8">
        <w:rPr>
          <w:b/>
        </w:rPr>
        <w:t>Аудит продуктивности</w:t>
      </w:r>
      <w:r w:rsidRPr="00FC0DC8">
        <w:t xml:space="preserve"> – определение соотношения между объемом оказываемых услуг и использованными для получения этих услуг ресурсами. В связи с тем, что бюджетом предусматривались бюджетные ассигнования ниже запланированных Программой, а ожидаемые результаты почти по всем мероприятиям отсутствуют, сделать вывод о продуктивности Программы не представляется возможным.</w:t>
      </w:r>
    </w:p>
    <w:p w:rsidR="00EA7F12" w:rsidRPr="00425C68" w:rsidRDefault="00EA7F12" w:rsidP="00B459E0">
      <w:pPr>
        <w:jc w:val="both"/>
        <w:rPr>
          <w:color w:val="FF0000"/>
        </w:rPr>
      </w:pPr>
    </w:p>
    <w:p w:rsidR="00A50A43" w:rsidRPr="00236018" w:rsidRDefault="004D02AC" w:rsidP="008835C9">
      <w:pPr>
        <w:ind w:firstLine="567"/>
        <w:jc w:val="both"/>
      </w:pPr>
      <w:r w:rsidRPr="00236018">
        <w:t>ВЫВОДЫ</w:t>
      </w:r>
      <w:r w:rsidR="00ED16B3" w:rsidRPr="00236018">
        <w:t>:</w:t>
      </w:r>
    </w:p>
    <w:p w:rsidR="00236018" w:rsidRDefault="00236018" w:rsidP="00236018">
      <w:pPr>
        <w:ind w:right="-1" w:firstLine="540"/>
        <w:jc w:val="both"/>
      </w:pPr>
      <w:r>
        <w:t>1. Долгосрочная целевая п</w:t>
      </w:r>
      <w:r w:rsidRPr="00B65995">
        <w:t xml:space="preserve">рограмма «Повышение эффективности управления муниципальными финансами МО Куйтунский район на 2011-2013 годы» утверждена </w:t>
      </w:r>
      <w:r>
        <w:t>с нарушением сроков (</w:t>
      </w:r>
      <w:r w:rsidRPr="00B65995">
        <w:t>31.01.2011</w:t>
      </w:r>
      <w:r>
        <w:t xml:space="preserve"> </w:t>
      </w:r>
      <w:r w:rsidRPr="00B65995">
        <w:t>года</w:t>
      </w:r>
      <w:r>
        <w:t>)</w:t>
      </w:r>
      <w:r w:rsidRPr="00B65995">
        <w:t xml:space="preserve">, что свидетельствует о </w:t>
      </w:r>
      <w:r>
        <w:t xml:space="preserve">несоблюдении положений ст. 179 БК РФ и </w:t>
      </w:r>
      <w:r w:rsidRPr="00236018">
        <w:t>п. 3.5 Порядка разработки и реализации долгосрочных целевых программ МО Куйтунский район,</w:t>
      </w:r>
      <w:r>
        <w:t xml:space="preserve"> утвержденного постановлением администрации от 23.06.2010г. № 486</w:t>
      </w:r>
      <w:r w:rsidRPr="009C128A">
        <w:t xml:space="preserve"> </w:t>
      </w:r>
      <w:r>
        <w:t>(пункт 1.1.18 Классификатора нарушений).</w:t>
      </w:r>
    </w:p>
    <w:p w:rsidR="00236018" w:rsidRPr="00FC4A02" w:rsidRDefault="00236018" w:rsidP="00236018">
      <w:pPr>
        <w:widowControl w:val="0"/>
        <w:autoSpaceDE w:val="0"/>
        <w:autoSpaceDN w:val="0"/>
        <w:adjustRightInd w:val="0"/>
        <w:ind w:right="57" w:firstLine="567"/>
        <w:jc w:val="both"/>
      </w:pPr>
      <w:r>
        <w:t>2. В нарушение</w:t>
      </w:r>
      <w:r w:rsidRPr="00B65995">
        <w:t xml:space="preserve"> п.</w:t>
      </w:r>
      <w:r>
        <w:t xml:space="preserve"> </w:t>
      </w:r>
      <w:r w:rsidRPr="00B65995">
        <w:t>2 ст. 179 БК РФ, предусматривающего, что объем бюджетных ассигнований на реализацию муниципальных долгосрочных целевых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 утвердившим программу</w:t>
      </w:r>
      <w:r w:rsidR="00FC4A02">
        <w:t xml:space="preserve"> </w:t>
      </w:r>
      <w:r w:rsidR="00FC4A02" w:rsidRPr="00FC4A02">
        <w:t>(пункт 1.2.2 Классификатора нарушений)</w:t>
      </w:r>
      <w:r w:rsidRPr="00FC4A02">
        <w:t>:</w:t>
      </w:r>
    </w:p>
    <w:p w:rsidR="00236018" w:rsidRDefault="00236018" w:rsidP="00236018">
      <w:pPr>
        <w:widowControl w:val="0"/>
        <w:autoSpaceDE w:val="0"/>
        <w:autoSpaceDN w:val="0"/>
        <w:adjustRightInd w:val="0"/>
        <w:ind w:right="57" w:firstLine="567"/>
        <w:jc w:val="both"/>
      </w:pPr>
      <w:r>
        <w:t xml:space="preserve">- </w:t>
      </w:r>
      <w:r w:rsidRPr="00580AA2">
        <w:t>решением о бюджете предусмотрены бюджетные ассигнования  на выполнение мероприятий по Программе за счет средств районного бюджета</w:t>
      </w:r>
      <w:r w:rsidR="00FC4A02">
        <w:t xml:space="preserve"> </w:t>
      </w:r>
      <w:r w:rsidRPr="00580AA2">
        <w:rPr>
          <w:u w:val="single"/>
        </w:rPr>
        <w:t>в 2013 году</w:t>
      </w:r>
      <w:r w:rsidRPr="00580AA2">
        <w:t xml:space="preserve"> в сумме 530 тыс. руб</w:t>
      </w:r>
      <w:r w:rsidR="00FC4A02">
        <w:t>лей</w:t>
      </w:r>
      <w:r w:rsidRPr="00580AA2">
        <w:t>, или 30% от потребности (530:1767), указанной в Программе.</w:t>
      </w:r>
    </w:p>
    <w:p w:rsidR="00236018" w:rsidRDefault="00236018" w:rsidP="00236018">
      <w:pPr>
        <w:widowControl w:val="0"/>
        <w:autoSpaceDE w:val="0"/>
        <w:autoSpaceDN w:val="0"/>
        <w:adjustRightInd w:val="0"/>
        <w:ind w:right="57" w:firstLine="567"/>
        <w:jc w:val="both"/>
      </w:pPr>
      <w:r>
        <w:t xml:space="preserve">- </w:t>
      </w:r>
      <w:r w:rsidRPr="00B65995">
        <w:t xml:space="preserve"> решением о бюджете предусмотрены бюджетные ассигнования  на выполнение мероприятий по Программе за счет средств районного бюджета</w:t>
      </w:r>
      <w:r w:rsidR="00FC4A02">
        <w:t xml:space="preserve"> </w:t>
      </w:r>
      <w:r w:rsidRPr="00580AA2">
        <w:rPr>
          <w:u w:val="single"/>
        </w:rPr>
        <w:t>в 2014 году</w:t>
      </w:r>
      <w:r w:rsidRPr="00B65995">
        <w:t xml:space="preserve"> в сумме 830 тыс. руб</w:t>
      </w:r>
      <w:r w:rsidR="00FC4A02">
        <w:t>лей</w:t>
      </w:r>
      <w:r w:rsidRPr="00B65995">
        <w:t>, или 47% от потребности (830:1767), указанной в Программе.</w:t>
      </w:r>
    </w:p>
    <w:p w:rsidR="00236018" w:rsidRDefault="00236018" w:rsidP="00236018">
      <w:pPr>
        <w:widowControl w:val="0"/>
        <w:autoSpaceDE w:val="0"/>
        <w:autoSpaceDN w:val="0"/>
        <w:adjustRightInd w:val="0"/>
        <w:ind w:right="57" w:firstLine="567"/>
        <w:jc w:val="both"/>
      </w:pPr>
      <w:r>
        <w:t xml:space="preserve">- </w:t>
      </w:r>
      <w:r w:rsidRPr="00580AA2">
        <w:t>решением о бюджете предусмотрены бюджетные ассигнования  на выполнение мероприятий по Программе за счет средств областного бюджета</w:t>
      </w:r>
      <w:r w:rsidR="00FC4A02">
        <w:t xml:space="preserve"> </w:t>
      </w:r>
      <w:r w:rsidRPr="00580AA2">
        <w:rPr>
          <w:u w:val="single"/>
        </w:rPr>
        <w:t xml:space="preserve">в 2015 </w:t>
      </w:r>
      <w:r w:rsidRPr="00FC4A02">
        <w:rPr>
          <w:u w:val="single"/>
        </w:rPr>
        <w:t>году</w:t>
      </w:r>
      <w:r w:rsidR="00FC4A02">
        <w:t xml:space="preserve"> </w:t>
      </w:r>
      <w:r w:rsidRPr="00FC4A02">
        <w:t>в</w:t>
      </w:r>
      <w:r w:rsidRPr="00580AA2">
        <w:t xml:space="preserve"> сумме 5000 тыс. руб</w:t>
      </w:r>
      <w:r w:rsidR="00FC4A02">
        <w:t>лей</w:t>
      </w:r>
      <w:r w:rsidRPr="00580AA2">
        <w:t>, а в Программе определена сумма 27000 тыс. руб</w:t>
      </w:r>
      <w:r w:rsidR="00FC4A02">
        <w:t>лей.</w:t>
      </w:r>
    </w:p>
    <w:p w:rsidR="008651F4" w:rsidRDefault="00CF7A52" w:rsidP="007F025C">
      <w:pPr>
        <w:widowControl w:val="0"/>
        <w:autoSpaceDE w:val="0"/>
        <w:autoSpaceDN w:val="0"/>
        <w:adjustRightInd w:val="0"/>
        <w:ind w:right="57" w:firstLine="567"/>
        <w:jc w:val="both"/>
      </w:pPr>
      <w:r w:rsidRPr="008651F4">
        <w:t>3.</w:t>
      </w:r>
      <w:r w:rsidRPr="00425C68">
        <w:rPr>
          <w:color w:val="FF0000"/>
        </w:rPr>
        <w:t xml:space="preserve"> </w:t>
      </w:r>
      <w:r w:rsidR="008651F4">
        <w:t>При</w:t>
      </w:r>
      <w:r w:rsidR="008651F4" w:rsidRPr="00580AA2">
        <w:t xml:space="preserve"> анализ</w:t>
      </w:r>
      <w:r w:rsidR="008651F4">
        <w:t>е</w:t>
      </w:r>
      <w:r w:rsidR="008651F4" w:rsidRPr="00580AA2">
        <w:t xml:space="preserve"> достигнутых результатов реализации Программы по индикаторам</w:t>
      </w:r>
      <w:r w:rsidR="008651F4">
        <w:t xml:space="preserve"> (5 индикаторов)</w:t>
      </w:r>
      <w:r w:rsidR="008651F4" w:rsidRPr="00580AA2">
        <w:t>, которые приведены в таблице в разделе VI Программы</w:t>
      </w:r>
      <w:r w:rsidR="008651F4">
        <w:t xml:space="preserve"> установлено следующее:</w:t>
      </w:r>
    </w:p>
    <w:p w:rsidR="008651F4" w:rsidRDefault="008651F4" w:rsidP="007F025C">
      <w:pPr>
        <w:widowControl w:val="0"/>
        <w:autoSpaceDE w:val="0"/>
        <w:autoSpaceDN w:val="0"/>
        <w:adjustRightInd w:val="0"/>
        <w:ind w:right="57" w:firstLine="567"/>
        <w:jc w:val="both"/>
      </w:pPr>
      <w:r>
        <w:t xml:space="preserve">- </w:t>
      </w:r>
      <w:r w:rsidRPr="00580AA2">
        <w:t xml:space="preserve">первый показатель – </w:t>
      </w:r>
      <w:r w:rsidRPr="00580AA2">
        <w:rPr>
          <w:b/>
          <w:u w:val="single"/>
        </w:rPr>
        <w:t>«налоговые доходы»</w:t>
      </w:r>
      <w:r w:rsidR="007F025C">
        <w:rPr>
          <w:b/>
        </w:rPr>
        <w:t xml:space="preserve"> </w:t>
      </w:r>
      <w:r w:rsidRPr="00580AA2">
        <w:t>ежегодно увеличивал</w:t>
      </w:r>
      <w:r>
        <w:t>ся</w:t>
      </w:r>
      <w:r w:rsidRPr="00580AA2">
        <w:t xml:space="preserve"> по отношению к базовому периоду, но темпы роста в 2014 и 2015гг. оказались ниже запланированных</w:t>
      </w:r>
      <w:r>
        <w:t>.</w:t>
      </w:r>
    </w:p>
    <w:p w:rsidR="008651F4" w:rsidRDefault="008651F4" w:rsidP="007F025C">
      <w:pPr>
        <w:widowControl w:val="0"/>
        <w:autoSpaceDE w:val="0"/>
        <w:autoSpaceDN w:val="0"/>
        <w:adjustRightInd w:val="0"/>
        <w:ind w:right="57" w:firstLine="567"/>
        <w:jc w:val="both"/>
      </w:pPr>
      <w:r>
        <w:t>- второй показатель –</w:t>
      </w:r>
      <w:r w:rsidR="007F025C">
        <w:t xml:space="preserve"> </w:t>
      </w:r>
      <w:r w:rsidRPr="00F8294A">
        <w:rPr>
          <w:b/>
          <w:u w:val="single"/>
        </w:rPr>
        <w:t>«доходы от использования муниципального имущества»</w:t>
      </w:r>
      <w:r w:rsidRPr="00580AA2">
        <w:t xml:space="preserve"> ежегодно увеличивал</w:t>
      </w:r>
      <w:r>
        <w:t>ся. Однако</w:t>
      </w:r>
      <w:r w:rsidRPr="00580AA2">
        <w:t>, изначально паспортом Программы темпы роста доходов от использования муниципального имущества прогнозировались незначительные и даже с понижением, например, к 2012</w:t>
      </w:r>
      <w:r w:rsidR="007F025C">
        <w:t xml:space="preserve"> </w:t>
      </w:r>
      <w:r w:rsidRPr="00580AA2">
        <w:t>году, 2013 году. Так, если темп роста данного доходного источника в 2012</w:t>
      </w:r>
      <w:r w:rsidR="007F025C">
        <w:t xml:space="preserve"> </w:t>
      </w:r>
      <w:r w:rsidRPr="00580AA2">
        <w:t>году по отношению к базовому 2010 году определен в размере 34,1%, то в 2013г. – 14%, а в 2014 г. – 12,7%, а это означает снижение данных поступлений в 2013 и 2014гг. Таким образом, установленные паспортом Программы  индикаторы не направлены на решение задачи по увеличению доходов района бюджета, а, наоборот, даже противоречат, поскольку планируется их снижение.</w:t>
      </w:r>
    </w:p>
    <w:p w:rsidR="008651F4" w:rsidRDefault="008651F4" w:rsidP="007F025C">
      <w:pPr>
        <w:widowControl w:val="0"/>
        <w:autoSpaceDE w:val="0"/>
        <w:autoSpaceDN w:val="0"/>
        <w:adjustRightInd w:val="0"/>
        <w:ind w:right="57" w:firstLine="567"/>
        <w:jc w:val="both"/>
      </w:pPr>
      <w:r>
        <w:t xml:space="preserve">- третий показатель - </w:t>
      </w:r>
      <w:r w:rsidRPr="00F8294A">
        <w:rPr>
          <w:b/>
          <w:u w:val="single"/>
        </w:rPr>
        <w:t xml:space="preserve">«просроченная кредиторская задолженность» </w:t>
      </w:r>
      <w:r>
        <w:t>- свидетельствует о значительном снижении</w:t>
      </w:r>
      <w:r w:rsidRPr="00F8294A">
        <w:t xml:space="preserve"> по сравнению с 2010 годом </w:t>
      </w:r>
      <w:r>
        <w:t>п</w:t>
      </w:r>
      <w:r w:rsidRPr="00F8294A">
        <w:t>росроченной кредиторской задолженности (большая часть просроченной кредиторской задолженности была реструктуризирована). Однако, в 2015</w:t>
      </w:r>
      <w:r w:rsidR="007F025C">
        <w:t xml:space="preserve"> </w:t>
      </w:r>
      <w:r w:rsidRPr="00F8294A">
        <w:t>году по сравнению с предыдущим 2014 годом наблюдается увеличение просроченной кредиторской задолженности на 6414,5 тыс. руб</w:t>
      </w:r>
      <w:r w:rsidR="007F025C">
        <w:t>лей</w:t>
      </w:r>
      <w:r w:rsidRPr="00F8294A">
        <w:t>, или в три раза.</w:t>
      </w:r>
    </w:p>
    <w:p w:rsidR="008651F4" w:rsidRDefault="008651F4" w:rsidP="007F025C">
      <w:pPr>
        <w:widowControl w:val="0"/>
        <w:autoSpaceDE w:val="0"/>
        <w:autoSpaceDN w:val="0"/>
        <w:adjustRightInd w:val="0"/>
        <w:ind w:right="57" w:firstLine="567"/>
        <w:jc w:val="both"/>
      </w:pPr>
      <w:r>
        <w:t xml:space="preserve">- четвертый показатель </w:t>
      </w:r>
      <w:r w:rsidR="000C72DD">
        <w:t xml:space="preserve">- </w:t>
      </w:r>
      <w:r w:rsidRPr="00F8294A">
        <w:rPr>
          <w:b/>
          <w:u w:val="single"/>
        </w:rPr>
        <w:t>«доля программно-целевых расходов в общих расходах бюджета района»</w:t>
      </w:r>
      <w:r w:rsidRPr="00F8294A">
        <w:t xml:space="preserve"> не достигнут. Согласно паспорта Программы, в 2015</w:t>
      </w:r>
      <w:r w:rsidR="006C46AE">
        <w:t xml:space="preserve"> </w:t>
      </w:r>
      <w:r w:rsidRPr="00F8294A">
        <w:t xml:space="preserve">году доля </w:t>
      </w:r>
      <w:r w:rsidRPr="00F8294A">
        <w:lastRenderedPageBreak/>
        <w:t>программных расходов бюджета должна была увеличиться по отношению к 2010 году на 30%</w:t>
      </w:r>
      <w:r>
        <w:t>. О</w:t>
      </w:r>
      <w:r w:rsidRPr="00F8294A">
        <w:t>днако, программные расходы не только не увеличились, но и уменьшились и составили 1,2%. В 2012г. доля программных расходов в бюджете составила 2,2%, в остальные года реализации Программы, данный показатель не превышал 2%. Таким  образом, анализ индикатора «доля программно-целевых расходов в общих</w:t>
      </w:r>
      <w:r w:rsidR="006C46AE">
        <w:t xml:space="preserve"> </w:t>
      </w:r>
      <w:r w:rsidRPr="00F8294A">
        <w:t>расходах бюджета района» свидетельствует о том, что поставленная задача 2.2. «Развитие бюджетирования, ориентированного на результат» не решена.</w:t>
      </w:r>
    </w:p>
    <w:p w:rsidR="008651F4" w:rsidRDefault="008651F4" w:rsidP="007F025C">
      <w:pPr>
        <w:widowControl w:val="0"/>
        <w:autoSpaceDE w:val="0"/>
        <w:autoSpaceDN w:val="0"/>
        <w:adjustRightInd w:val="0"/>
        <w:ind w:right="57" w:firstLine="567"/>
        <w:jc w:val="both"/>
      </w:pPr>
      <w:r>
        <w:t xml:space="preserve">- пятый показатель </w:t>
      </w:r>
      <w:r w:rsidR="000C72DD">
        <w:t xml:space="preserve">- </w:t>
      </w:r>
      <w:r w:rsidRPr="00F8294A">
        <w:rPr>
          <w:b/>
          <w:u w:val="single"/>
        </w:rPr>
        <w:t>«увеличение охвата муниципальных учреждений муниципальным финансовым контролем»</w:t>
      </w:r>
      <w:r w:rsidRPr="00F8294A">
        <w:t xml:space="preserve"> запланирован</w:t>
      </w:r>
      <w:r w:rsidR="000C72DD">
        <w:t xml:space="preserve"> </w:t>
      </w:r>
      <w:r>
        <w:t xml:space="preserve">с темпами роста по отношению к 2010 году: </w:t>
      </w:r>
      <w:r w:rsidRPr="00F8294A">
        <w:t xml:space="preserve"> на 2011г.</w:t>
      </w:r>
      <w:r>
        <w:t xml:space="preserve"> - </w:t>
      </w:r>
      <w:r w:rsidRPr="00F8294A">
        <w:t xml:space="preserve"> 10%, на 2012г.</w:t>
      </w:r>
      <w:r>
        <w:t xml:space="preserve"> -</w:t>
      </w:r>
      <w:r w:rsidRPr="00F8294A">
        <w:t xml:space="preserve"> 15%, на 2013г.</w:t>
      </w:r>
      <w:r>
        <w:t xml:space="preserve"> -</w:t>
      </w:r>
      <w:r w:rsidRPr="00F8294A">
        <w:t xml:space="preserve"> 10%, на 2014г.</w:t>
      </w:r>
      <w:r>
        <w:t xml:space="preserve"> -</w:t>
      </w:r>
      <w:r w:rsidRPr="00F8294A">
        <w:t xml:space="preserve"> 15%, на 2015г. </w:t>
      </w:r>
      <w:r>
        <w:t xml:space="preserve">- </w:t>
      </w:r>
      <w:r w:rsidRPr="00F8294A">
        <w:t xml:space="preserve">35%. Однако, ежегодно КСП района по результатам проведения внешней проверки годового отчета по исполнению бюджета отмечалось, что внутренний финансовый контроль администраторами средств бюджета не обеспечен. КСП рекомендовано принять меры по формированию единой целостной системы внутреннего финансового контроля, разработать и утвердить нормативные методические документы, направленные на обеспечение внутреннего финансового контроля и внутреннего финансового аудита в соответствии с  нормами  ст.160.2-1 Бюджетного кодекса РФ (Заключение КСП № 06 </w:t>
      </w:r>
      <w:r w:rsidR="000C72DD" w:rsidRPr="00F8294A">
        <w:t>от 23.03.2015г.</w:t>
      </w:r>
      <w:r w:rsidR="000C72DD">
        <w:t xml:space="preserve"> </w:t>
      </w:r>
      <w:r w:rsidRPr="00F8294A">
        <w:t xml:space="preserve">по результатам внешней проверки годового отчета об исполнении бюджета МО Куйтунский район за 2014 год, Заключение КСП № 13 </w:t>
      </w:r>
      <w:r w:rsidR="000C72DD" w:rsidRPr="00F8294A">
        <w:t>от 01.04.2016г.</w:t>
      </w:r>
      <w:r w:rsidR="000C72DD">
        <w:t xml:space="preserve"> </w:t>
      </w:r>
      <w:r w:rsidRPr="00F8294A">
        <w:t>по результатам внешней проверки годового отчета об исполнении бюджета МО Куйтунский район за 2015 год).</w:t>
      </w:r>
    </w:p>
    <w:p w:rsidR="00051A6A" w:rsidRDefault="00CF7A52" w:rsidP="00051A6A">
      <w:pPr>
        <w:widowControl w:val="0"/>
        <w:autoSpaceDE w:val="0"/>
        <w:autoSpaceDN w:val="0"/>
        <w:adjustRightInd w:val="0"/>
        <w:ind w:right="57" w:firstLine="567"/>
        <w:jc w:val="both"/>
      </w:pPr>
      <w:r w:rsidRPr="00051A6A">
        <w:t>4</w:t>
      </w:r>
      <w:r w:rsidR="00BA66ED" w:rsidRPr="00051A6A">
        <w:t>.</w:t>
      </w:r>
      <w:r w:rsidR="00BA66ED" w:rsidRPr="00425C68">
        <w:rPr>
          <w:color w:val="FF0000"/>
        </w:rPr>
        <w:t xml:space="preserve"> </w:t>
      </w:r>
      <w:r w:rsidR="00051A6A" w:rsidRPr="00302D53">
        <w:t>Из 49 мероприятий Программы только по одному мероприятию «оплата коммунальных услуг бюджетных и казенных учреждений» определен ожидаемый конечный результат: недопущение кредиторской задолженности. Однако, исполнение этого мероприяти</w:t>
      </w:r>
      <w:r w:rsidR="00051A6A">
        <w:t>я</w:t>
      </w:r>
      <w:r w:rsidR="00051A6A" w:rsidRPr="00302D53">
        <w:t xml:space="preserve"> не привело к ожидаемому результату. Так, кредиторская задолженность по оплате коммунальных услуг по данным годовых отчетов об исполнении бюджета по состоянию на 01.01.2014г. составляла 5579,2 тыс. руб</w:t>
      </w:r>
      <w:r w:rsidR="00051A6A">
        <w:t>лей</w:t>
      </w:r>
      <w:r w:rsidR="00051A6A" w:rsidRPr="00302D53">
        <w:t>, на 01.01.2015г. – 6077,8</w:t>
      </w:r>
      <w:r w:rsidR="00051A6A">
        <w:t xml:space="preserve"> </w:t>
      </w:r>
      <w:r w:rsidR="00051A6A" w:rsidRPr="00302D53">
        <w:t>тыс. руб</w:t>
      </w:r>
      <w:r w:rsidR="00051A6A">
        <w:t>лей</w:t>
      </w:r>
      <w:r w:rsidR="00051A6A" w:rsidRPr="00302D53">
        <w:t>, на 01.01.2016г. – 10421,2</w:t>
      </w:r>
      <w:r w:rsidR="00051A6A">
        <w:t xml:space="preserve"> </w:t>
      </w:r>
      <w:r w:rsidR="00051A6A" w:rsidRPr="00302D53">
        <w:t>тыс. руб</w:t>
      </w:r>
      <w:r w:rsidR="00051A6A">
        <w:t>лей.</w:t>
      </w:r>
    </w:p>
    <w:p w:rsidR="00051A6A" w:rsidRDefault="00CE1E3E" w:rsidP="00051A6A">
      <w:pPr>
        <w:widowControl w:val="0"/>
        <w:autoSpaceDE w:val="0"/>
        <w:autoSpaceDN w:val="0"/>
        <w:adjustRightInd w:val="0"/>
        <w:ind w:right="57" w:firstLine="567"/>
        <w:jc w:val="both"/>
      </w:pPr>
      <w:r w:rsidRPr="00051A6A">
        <w:t>5.</w:t>
      </w:r>
      <w:r w:rsidRPr="00425C68">
        <w:rPr>
          <w:color w:val="FF0000"/>
        </w:rPr>
        <w:t xml:space="preserve"> </w:t>
      </w:r>
      <w:r w:rsidR="00051A6A">
        <w:t xml:space="preserve">Не внесены изменения в Программу в связи с изменением отдельных нормативно-правовых актов: </w:t>
      </w:r>
    </w:p>
    <w:p w:rsidR="00051A6A" w:rsidRDefault="00051A6A" w:rsidP="00051A6A">
      <w:pPr>
        <w:widowControl w:val="0"/>
        <w:autoSpaceDE w:val="0"/>
        <w:autoSpaceDN w:val="0"/>
        <w:adjustRightInd w:val="0"/>
        <w:ind w:right="57" w:firstLine="567"/>
        <w:jc w:val="both"/>
      </w:pPr>
      <w:r>
        <w:t xml:space="preserve">- в 2014 году </w:t>
      </w:r>
      <w:r w:rsidRPr="00EA0C9C">
        <w:t>следовало исключить из муниципальной программы следующую формулировку: «20% поступивших межбюджетных трансфертов из областного бюджета распределяются муниципальным образованиям Куйтунского района». Также следовало исключить суммовые показатели  по объемам субсидии, передаваемой поселениям в рамках программы  на 2014 год в сумме 4342 тыс. руб</w:t>
      </w:r>
      <w:r>
        <w:t>лей</w:t>
      </w:r>
      <w:r w:rsidRPr="00EA0C9C">
        <w:t>, на 2015 год – 3000 тыс. руб</w:t>
      </w:r>
      <w:r>
        <w:t>лей.</w:t>
      </w:r>
      <w:r w:rsidRPr="00EA0C9C">
        <w:t xml:space="preserve"> </w:t>
      </w:r>
      <w:r>
        <w:t xml:space="preserve">Фактически </w:t>
      </w:r>
      <w:r w:rsidRPr="00EA0C9C">
        <w:t>МБТ поселениям в рамках муниципальной программы в 2014 году не предоставлялись.</w:t>
      </w:r>
    </w:p>
    <w:p w:rsidR="00051A6A" w:rsidRDefault="00051A6A" w:rsidP="00051A6A">
      <w:pPr>
        <w:widowControl w:val="0"/>
        <w:autoSpaceDE w:val="0"/>
        <w:autoSpaceDN w:val="0"/>
        <w:adjustRightInd w:val="0"/>
        <w:ind w:right="57" w:firstLine="567"/>
        <w:jc w:val="both"/>
      </w:pPr>
      <w:r>
        <w:t>- н</w:t>
      </w:r>
      <w:r w:rsidRPr="00EA0C9C">
        <w:t>е внесены изменения в план мероприятий Программы, где одним из мероприятий является «внедрение в муниципальных учреждениях здравоохранения программы «1С: Зарплата и кадры. Медицинская настройка», ответственный исполнитель – МУЗ КЦРБ. С 01.01.2013г. КЦРБ приобрела статус областного учреждения, а  муниципальная собственность МО Куйтунский район, используемая МБУЗ КЦРБ на праве оперативного управления,   с 2013г.  передана в государственную собственность Иркутской области.</w:t>
      </w:r>
    </w:p>
    <w:p w:rsidR="00051A6A" w:rsidRDefault="00051A6A" w:rsidP="00051A6A">
      <w:pPr>
        <w:widowControl w:val="0"/>
        <w:autoSpaceDE w:val="0"/>
        <w:autoSpaceDN w:val="0"/>
        <w:adjustRightInd w:val="0"/>
        <w:ind w:right="57" w:firstLine="567"/>
        <w:jc w:val="both"/>
      </w:pPr>
      <w:r>
        <w:t>6. В</w:t>
      </w:r>
      <w:r w:rsidRPr="00302D53">
        <w:t xml:space="preserve"> нарушение Порядка разработки, реализации и оценки эффективности реализации муниципальных программ муниципального образования Куйтунский район</w:t>
      </w:r>
      <w:r>
        <w:t xml:space="preserve">, утвержденного постановлением администрации </w:t>
      </w:r>
      <w:r w:rsidRPr="00302D53">
        <w:t>от  18 апреля 2014 № 265-п</w:t>
      </w:r>
      <w:r>
        <w:t>,</w:t>
      </w:r>
      <w:r w:rsidRPr="00302D53">
        <w:t xml:space="preserve"> исполнителями Программы (ЭУА и ФУА)  ежегодные отчеты о реализации муниципальной программы не подготавливались (п</w:t>
      </w:r>
      <w:r w:rsidR="00C31FD4">
        <w:t xml:space="preserve">ункт </w:t>
      </w:r>
      <w:r w:rsidRPr="00302D53">
        <w:t>1.</w:t>
      </w:r>
      <w:r w:rsidR="00C31FD4">
        <w:t>2</w:t>
      </w:r>
      <w:r w:rsidRPr="00302D53">
        <w:t>.</w:t>
      </w:r>
      <w:r w:rsidR="00C31FD4">
        <w:t>3</w:t>
      </w:r>
      <w:r w:rsidRPr="00302D53">
        <w:t xml:space="preserve"> Классификатора нарушений).</w:t>
      </w:r>
    </w:p>
    <w:p w:rsidR="00051A6A" w:rsidRDefault="00051A6A" w:rsidP="00051A6A">
      <w:pPr>
        <w:ind w:firstLine="540"/>
        <w:jc w:val="both"/>
      </w:pPr>
      <w:r>
        <w:t>7</w:t>
      </w:r>
      <w:r w:rsidRPr="00302D53">
        <w:t xml:space="preserve">. </w:t>
      </w:r>
      <w:r>
        <w:t>Аудит результативности Программы показал отсутствие взаимосвязи между финансовым обеспечением Программы и достижением предусмотренных её показателей эффективности.</w:t>
      </w:r>
    </w:p>
    <w:p w:rsidR="00051A6A" w:rsidRDefault="00051A6A" w:rsidP="00051A6A">
      <w:pPr>
        <w:ind w:firstLine="540"/>
        <w:jc w:val="both"/>
      </w:pPr>
      <w:r>
        <w:t xml:space="preserve"> В ходе аудита эффективности установлено, что средства Программы направлены на плату расходных обязательств, связанных с содержанием органов власти, учреждений образования и культуры (оплата труда, коммунальные услуги и др.). </w:t>
      </w:r>
    </w:p>
    <w:p w:rsidR="00051A6A" w:rsidRDefault="00051A6A" w:rsidP="00051A6A">
      <w:pPr>
        <w:ind w:firstLine="540"/>
        <w:jc w:val="both"/>
      </w:pPr>
      <w:r>
        <w:lastRenderedPageBreak/>
        <w:t xml:space="preserve">В связи с тем, что бюджетом предусматривались бюджетные ассигнования ниже запланированных Программой, а ожидаемые результаты </w:t>
      </w:r>
      <w:r w:rsidRPr="0068300F">
        <w:t>почти по всем мероприятиям отсутствуют</w:t>
      </w:r>
      <w:r>
        <w:t xml:space="preserve">, сделать вывод о продуктивности в целом Программы не представляется возможным. </w:t>
      </w:r>
    </w:p>
    <w:p w:rsidR="00C31FD4" w:rsidRDefault="00C31FD4" w:rsidP="00005ADC">
      <w:pPr>
        <w:ind w:firstLine="567"/>
        <w:jc w:val="center"/>
        <w:rPr>
          <w:b/>
          <w:color w:val="FF0000"/>
        </w:rPr>
      </w:pPr>
    </w:p>
    <w:p w:rsidR="00005ADC" w:rsidRPr="00C31FD4" w:rsidRDefault="00005ADC" w:rsidP="00005ADC">
      <w:pPr>
        <w:ind w:firstLine="567"/>
        <w:jc w:val="center"/>
        <w:rPr>
          <w:b/>
        </w:rPr>
      </w:pPr>
      <w:r w:rsidRPr="00C31FD4">
        <w:rPr>
          <w:b/>
        </w:rPr>
        <w:t>Предложения</w:t>
      </w:r>
      <w:r w:rsidR="00772D23" w:rsidRPr="00C31FD4">
        <w:rPr>
          <w:b/>
        </w:rPr>
        <w:t>:</w:t>
      </w:r>
    </w:p>
    <w:p w:rsidR="00FA7E64" w:rsidRPr="001B5B74" w:rsidRDefault="001B5B74" w:rsidP="001B5B74">
      <w:pPr>
        <w:numPr>
          <w:ilvl w:val="0"/>
          <w:numId w:val="1"/>
        </w:numPr>
        <w:ind w:left="0" w:right="-1" w:firstLine="567"/>
        <w:jc w:val="both"/>
      </w:pPr>
      <w:r w:rsidRPr="00F704FE">
        <w:t>Финансово</w:t>
      </w:r>
      <w:r>
        <w:t>му</w:t>
      </w:r>
      <w:r w:rsidRPr="00F704FE">
        <w:t xml:space="preserve"> </w:t>
      </w:r>
      <w:r>
        <w:t>у</w:t>
      </w:r>
      <w:r w:rsidRPr="00F704FE">
        <w:t>правлени</w:t>
      </w:r>
      <w:r>
        <w:t>ю</w:t>
      </w:r>
      <w:r w:rsidRPr="00F704FE">
        <w:t xml:space="preserve"> Администрации МО Куйтунский район </w:t>
      </w:r>
      <w:r>
        <w:t>и Э</w:t>
      </w:r>
      <w:r w:rsidRPr="00F704FE">
        <w:t>кономическо</w:t>
      </w:r>
      <w:r>
        <w:t>му</w:t>
      </w:r>
      <w:r w:rsidRPr="00F704FE">
        <w:t xml:space="preserve"> </w:t>
      </w:r>
      <w:r>
        <w:t>у</w:t>
      </w:r>
      <w:r w:rsidRPr="00F704FE">
        <w:t>правлени</w:t>
      </w:r>
      <w:r>
        <w:t>ю</w:t>
      </w:r>
      <w:r w:rsidRPr="00F704FE">
        <w:t xml:space="preserve"> Администрации МО Куйтунский район</w:t>
      </w:r>
      <w:r>
        <w:t xml:space="preserve"> </w:t>
      </w:r>
      <w:r w:rsidR="00005ADC" w:rsidRPr="001B5B74">
        <w:t>в дальнейшей работе учесть данные нарушения и замечания</w:t>
      </w:r>
      <w:r>
        <w:t>.</w:t>
      </w:r>
    </w:p>
    <w:p w:rsidR="009021CD" w:rsidRPr="00C331FA" w:rsidRDefault="004C2535" w:rsidP="00C331FA">
      <w:pPr>
        <w:ind w:firstLine="567"/>
        <w:jc w:val="both"/>
      </w:pPr>
      <w:r w:rsidRPr="00C331FA">
        <w:t xml:space="preserve">2. </w:t>
      </w:r>
      <w:r w:rsidR="00AF6EBF">
        <w:t>О результатах рассмотрения настоящего Отчета и</w:t>
      </w:r>
      <w:r w:rsidR="009021CD" w:rsidRPr="00C331FA">
        <w:t xml:space="preserve"> принятых мерах  сообщить в КСП района </w:t>
      </w:r>
      <w:r w:rsidR="00AF6EBF">
        <w:t xml:space="preserve">в срок </w:t>
      </w:r>
      <w:r w:rsidR="009021CD" w:rsidRPr="00C331FA">
        <w:t>до  1</w:t>
      </w:r>
      <w:r w:rsidR="00AF6EBF">
        <w:t>2</w:t>
      </w:r>
      <w:r w:rsidR="009021CD" w:rsidRPr="00C331FA">
        <w:t xml:space="preserve">  </w:t>
      </w:r>
      <w:r w:rsidR="00C331FA" w:rsidRPr="00C331FA">
        <w:t>сентября</w:t>
      </w:r>
      <w:r w:rsidR="009021CD" w:rsidRPr="00C331FA">
        <w:t xml:space="preserve"> 2016 года.</w:t>
      </w:r>
    </w:p>
    <w:p w:rsidR="00940E87" w:rsidRDefault="00940E87" w:rsidP="004C2535">
      <w:pPr>
        <w:ind w:firstLine="567"/>
        <w:jc w:val="both"/>
        <w:rPr>
          <w:color w:val="FF0000"/>
        </w:rPr>
      </w:pPr>
    </w:p>
    <w:p w:rsidR="006F2963" w:rsidRPr="00425C68" w:rsidRDefault="006F2963" w:rsidP="004C2535">
      <w:pPr>
        <w:ind w:firstLine="567"/>
        <w:jc w:val="both"/>
        <w:rPr>
          <w:color w:val="FF0000"/>
        </w:rPr>
      </w:pPr>
    </w:p>
    <w:p w:rsidR="00940E87" w:rsidRPr="00425C68" w:rsidRDefault="00940E87" w:rsidP="004C2535">
      <w:pPr>
        <w:ind w:firstLine="567"/>
        <w:jc w:val="both"/>
        <w:rPr>
          <w:color w:val="FF0000"/>
        </w:rPr>
      </w:pPr>
    </w:p>
    <w:p w:rsidR="00F3353D" w:rsidRPr="00425C68" w:rsidRDefault="00425C68" w:rsidP="004C2535">
      <w:pPr>
        <w:ind w:firstLine="567"/>
        <w:jc w:val="both"/>
      </w:pPr>
      <w:r w:rsidRPr="00425C68">
        <w:t>И. о. п</w:t>
      </w:r>
      <w:r w:rsidR="00940E87" w:rsidRPr="00425C68">
        <w:t>редседател</w:t>
      </w:r>
      <w:r w:rsidRPr="00425C68">
        <w:t>я</w:t>
      </w:r>
      <w:r w:rsidR="00940E87" w:rsidRPr="00425C68">
        <w:t xml:space="preserve"> КСП                                                       </w:t>
      </w:r>
      <w:r w:rsidRPr="00425C68">
        <w:t xml:space="preserve">      </w:t>
      </w:r>
      <w:r w:rsidR="00940E87" w:rsidRPr="00425C68">
        <w:t xml:space="preserve">   </w:t>
      </w:r>
      <w:r w:rsidRPr="00425C68">
        <w:t>А.А. Костюкевич</w:t>
      </w:r>
    </w:p>
    <w:p w:rsidR="00C92DE3" w:rsidRPr="00425C68" w:rsidRDefault="00C92DE3" w:rsidP="004C2535">
      <w:pPr>
        <w:ind w:firstLine="567"/>
        <w:jc w:val="both"/>
      </w:pPr>
    </w:p>
    <w:p w:rsidR="00C92DE3" w:rsidRPr="00425C68" w:rsidRDefault="00C92DE3" w:rsidP="004C2535">
      <w:pPr>
        <w:ind w:firstLine="567"/>
        <w:jc w:val="both"/>
        <w:rPr>
          <w:color w:val="FF0000"/>
        </w:rPr>
      </w:pPr>
    </w:p>
    <w:p w:rsidR="00C92DE3" w:rsidRPr="00425C68" w:rsidRDefault="00C92DE3" w:rsidP="004C2535">
      <w:pPr>
        <w:ind w:firstLine="567"/>
        <w:jc w:val="both"/>
        <w:rPr>
          <w:color w:val="FF0000"/>
        </w:rPr>
      </w:pPr>
    </w:p>
    <w:p w:rsidR="00C92DE3" w:rsidRDefault="00C92DE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Default="006F2963" w:rsidP="004C2535">
      <w:pPr>
        <w:ind w:firstLine="567"/>
        <w:jc w:val="both"/>
        <w:rPr>
          <w:color w:val="FF0000"/>
        </w:rPr>
      </w:pPr>
    </w:p>
    <w:p w:rsidR="006F2963" w:rsidRPr="00425C68" w:rsidRDefault="006F2963" w:rsidP="004C2535">
      <w:pPr>
        <w:ind w:firstLine="567"/>
        <w:jc w:val="both"/>
        <w:rPr>
          <w:color w:val="FF0000"/>
        </w:rPr>
      </w:pPr>
    </w:p>
    <w:p w:rsidR="00C92DE3" w:rsidRPr="00425C68" w:rsidRDefault="00C92DE3" w:rsidP="004C2535">
      <w:pPr>
        <w:ind w:firstLine="567"/>
        <w:jc w:val="both"/>
        <w:rPr>
          <w:color w:val="FF0000"/>
        </w:rPr>
      </w:pPr>
    </w:p>
    <w:p w:rsidR="006F2963" w:rsidRDefault="006F2963" w:rsidP="00C92DE3">
      <w:pPr>
        <w:ind w:firstLine="567"/>
        <w:jc w:val="center"/>
        <w:rPr>
          <w:b/>
        </w:rPr>
      </w:pPr>
    </w:p>
    <w:p w:rsidR="00C92DE3" w:rsidRPr="00425C68" w:rsidRDefault="00C92DE3" w:rsidP="00C92DE3">
      <w:pPr>
        <w:ind w:firstLine="567"/>
        <w:jc w:val="center"/>
        <w:rPr>
          <w:b/>
        </w:rPr>
      </w:pPr>
      <w:r w:rsidRPr="00425C68">
        <w:rPr>
          <w:b/>
        </w:rPr>
        <w:t xml:space="preserve">Справка </w:t>
      </w:r>
      <w:r w:rsidRPr="00425C68">
        <w:t xml:space="preserve">к </w:t>
      </w:r>
      <w:r w:rsidRPr="00425C68">
        <w:rPr>
          <w:b/>
        </w:rPr>
        <w:t xml:space="preserve">отчету </w:t>
      </w:r>
    </w:p>
    <w:p w:rsidR="00C92DE3" w:rsidRPr="00083615" w:rsidRDefault="00BC12B8" w:rsidP="00BC12B8">
      <w:pPr>
        <w:ind w:left="-1"/>
        <w:jc w:val="both"/>
      </w:pPr>
      <w:r w:rsidRPr="00425C68">
        <w:rPr>
          <w:b/>
        </w:rPr>
        <w:t>по результатам</w:t>
      </w:r>
      <w:r w:rsidR="00C92DE3" w:rsidRPr="00425C68">
        <w:rPr>
          <w:b/>
        </w:rPr>
        <w:t xml:space="preserve"> контрольного мероприятия:</w:t>
      </w:r>
      <w:r w:rsidR="00C92DE3" w:rsidRPr="00425C68">
        <w:rPr>
          <w:b/>
          <w:color w:val="FF0000"/>
        </w:rPr>
        <w:t xml:space="preserve"> </w:t>
      </w:r>
      <w:r w:rsidR="00425C68">
        <w:t>«Аудит эффективности использования бюджетных средств, выделенных на реализацию мероприятий муниципальной программы «Повышение эффективности управления муниципальными финансами МО Куйтунский район на 2011 – 2015годы</w:t>
      </w:r>
      <w:r w:rsidR="00425C68" w:rsidRPr="00083615">
        <w:t>»</w:t>
      </w:r>
      <w:r w:rsidR="00C92DE3" w:rsidRPr="00083615">
        <w:t>.</w:t>
      </w:r>
    </w:p>
    <w:p w:rsidR="004D75FC" w:rsidRPr="00425C68" w:rsidRDefault="004D75FC" w:rsidP="00BC12B8">
      <w:pPr>
        <w:ind w:left="-1"/>
        <w:jc w:val="both"/>
        <w:rPr>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4D75FC" w:rsidRPr="00425C68" w:rsidTr="004D75FC">
        <w:tc>
          <w:tcPr>
            <w:tcW w:w="756" w:type="dxa"/>
            <w:tcBorders>
              <w:top w:val="single" w:sz="4" w:space="0" w:color="auto"/>
              <w:left w:val="single" w:sz="4" w:space="0" w:color="auto"/>
              <w:bottom w:val="single" w:sz="4" w:space="0" w:color="auto"/>
              <w:right w:val="single" w:sz="4" w:space="0" w:color="auto"/>
            </w:tcBorders>
          </w:tcPr>
          <w:p w:rsidR="004D75FC" w:rsidRPr="00425C68" w:rsidRDefault="004D75FC">
            <w:pPr>
              <w:ind w:hanging="142"/>
              <w:jc w:val="center"/>
              <w:rPr>
                <w:b/>
                <w:color w:val="FF0000"/>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Сумма</w:t>
            </w:r>
          </w:p>
          <w:p w:rsidR="004D75FC" w:rsidRPr="00083615" w:rsidRDefault="004D75FC">
            <w:pPr>
              <w:ind w:hanging="142"/>
              <w:jc w:val="center"/>
              <w:rPr>
                <w:b/>
                <w:lang w:eastAsia="en-US"/>
              </w:rPr>
            </w:pPr>
            <w:r w:rsidRPr="00083615">
              <w:rPr>
                <w:b/>
                <w:lang w:eastAsia="en-US"/>
              </w:rPr>
              <w:t>(тыс.</w:t>
            </w:r>
            <w:r w:rsidR="00083615" w:rsidRPr="00083615">
              <w:rPr>
                <w:b/>
                <w:lang w:eastAsia="en-US"/>
              </w:rPr>
              <w:t xml:space="preserve"> </w:t>
            </w:r>
            <w:r w:rsidRPr="00083615">
              <w:rPr>
                <w:b/>
                <w:lang w:eastAsia="en-US"/>
              </w:rPr>
              <w:t>руб.)</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ind w:right="-391"/>
              <w:jc w:val="both"/>
              <w:rPr>
                <w:b/>
                <w:lang w:eastAsia="en-US"/>
              </w:rPr>
            </w:pPr>
            <w:r w:rsidRPr="00083615">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D75FC" w:rsidRPr="00425C68" w:rsidRDefault="00C31FD4" w:rsidP="00E67BFA">
            <w:pPr>
              <w:ind w:right="-108"/>
              <w:jc w:val="center"/>
              <w:rPr>
                <w:b/>
                <w:color w:val="FF0000"/>
                <w:lang w:eastAsia="en-US"/>
              </w:rPr>
            </w:pPr>
            <w:r w:rsidRPr="00B02493">
              <w:t>93446,5</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tcPr>
          <w:p w:rsidR="004D75FC" w:rsidRPr="00083615" w:rsidRDefault="00083615" w:rsidP="00083615">
            <w:pPr>
              <w:rPr>
                <w:b/>
                <w:lang w:eastAsia="en-US"/>
              </w:rPr>
            </w:pPr>
            <w:r w:rsidRPr="00083615">
              <w:rPr>
                <w:b/>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b/>
                <w:lang w:eastAsia="en-US"/>
              </w:rPr>
            </w:pPr>
            <w:r w:rsidRPr="00083615">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2</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tcPr>
          <w:p w:rsidR="004D75FC" w:rsidRPr="00425C68" w:rsidRDefault="004D75FC" w:rsidP="004D75FC">
            <w:pPr>
              <w:numPr>
                <w:ilvl w:val="0"/>
                <w:numId w:val="4"/>
              </w:numPr>
              <w:ind w:hanging="142"/>
              <w:jc w:val="center"/>
              <w:rPr>
                <w:b/>
                <w:color w:val="FF0000"/>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lang w:eastAsia="en-US"/>
              </w:rPr>
            </w:pPr>
            <w:r w:rsidRPr="00083615">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1</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tcPr>
          <w:p w:rsidR="004D75FC" w:rsidRPr="00425C68" w:rsidRDefault="004D75FC" w:rsidP="004D75FC">
            <w:pPr>
              <w:numPr>
                <w:ilvl w:val="0"/>
                <w:numId w:val="4"/>
              </w:numPr>
              <w:ind w:hanging="142"/>
              <w:jc w:val="center"/>
              <w:rPr>
                <w:b/>
                <w:color w:val="FF0000"/>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lang w:eastAsia="en-US"/>
              </w:rPr>
            </w:pPr>
            <w:r w:rsidRPr="00083615">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1</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b/>
                <w:lang w:eastAsia="en-US"/>
              </w:rPr>
            </w:pPr>
            <w:r w:rsidRPr="00083615">
              <w:rPr>
                <w:b/>
                <w:lang w:eastAsia="en-US"/>
              </w:rPr>
              <w:t>Выявлено нарушений бюджетного законодательства РФ, всего на сумму (тыс.</w:t>
            </w:r>
            <w:r w:rsidR="00083615" w:rsidRPr="00083615">
              <w:rPr>
                <w:b/>
                <w:lang w:eastAsia="en-US"/>
              </w:rPr>
              <w:t xml:space="preserve"> </w:t>
            </w:r>
            <w:r w:rsidRPr="00083615">
              <w:rPr>
                <w:b/>
                <w:lang w:eastAsia="en-US"/>
              </w:rPr>
              <w:t>руб.), в том числе по группам нарушений в соответствии с Классификатором*:</w:t>
            </w:r>
          </w:p>
        </w:tc>
        <w:tc>
          <w:tcPr>
            <w:tcW w:w="1559" w:type="dxa"/>
            <w:tcBorders>
              <w:top w:val="single" w:sz="4" w:space="0" w:color="auto"/>
              <w:left w:val="single" w:sz="4" w:space="0" w:color="auto"/>
              <w:bottom w:val="single" w:sz="4" w:space="0" w:color="auto"/>
              <w:right w:val="single" w:sz="4" w:space="0" w:color="auto"/>
            </w:tcBorders>
            <w:hideMark/>
          </w:tcPr>
          <w:p w:rsidR="004D75FC" w:rsidRPr="007E4C28" w:rsidRDefault="007E4C28">
            <w:pPr>
              <w:ind w:hanging="142"/>
              <w:jc w:val="center"/>
              <w:rPr>
                <w:b/>
                <w:lang w:eastAsia="en-US"/>
              </w:rPr>
            </w:pPr>
            <w:r w:rsidRPr="007E4C28">
              <w:rPr>
                <w:b/>
                <w:lang w:eastAsia="en-US"/>
              </w:rPr>
              <w:t>-</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lang w:eastAsia="en-US"/>
              </w:rPr>
            </w:pPr>
            <w:r w:rsidRPr="00083615">
              <w:rPr>
                <w:lang w:eastAsia="en-US"/>
              </w:rPr>
              <w:t>3.</w:t>
            </w:r>
            <w:r w:rsidR="004D75FC" w:rsidRPr="00083615">
              <w:rPr>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ind w:left="-47"/>
              <w:jc w:val="both"/>
              <w:rPr>
                <w:lang w:eastAsia="en-US"/>
              </w:rPr>
            </w:pPr>
            <w:r w:rsidRPr="00083615">
              <w:rPr>
                <w:lang w:eastAsia="en-US"/>
              </w:rPr>
              <w:t>Нарушения при формировании и исполнении бюджета</w:t>
            </w:r>
          </w:p>
        </w:tc>
        <w:tc>
          <w:tcPr>
            <w:tcW w:w="1559" w:type="dxa"/>
            <w:tcBorders>
              <w:top w:val="single" w:sz="4" w:space="0" w:color="auto"/>
              <w:left w:val="single" w:sz="4" w:space="0" w:color="auto"/>
              <w:bottom w:val="single" w:sz="4" w:space="0" w:color="auto"/>
              <w:right w:val="single" w:sz="4" w:space="0" w:color="auto"/>
            </w:tcBorders>
          </w:tcPr>
          <w:p w:rsidR="004D75FC" w:rsidRPr="00425C68" w:rsidRDefault="004D75FC">
            <w:pPr>
              <w:ind w:hanging="142"/>
              <w:jc w:val="center"/>
              <w:rPr>
                <w:color w:val="FF0000"/>
                <w:lang w:eastAsia="en-US"/>
              </w:rPr>
            </w:pP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lang w:eastAsia="en-US"/>
              </w:rPr>
            </w:pPr>
            <w:r w:rsidRPr="00083615">
              <w:rPr>
                <w:lang w:eastAsia="en-US"/>
              </w:rPr>
              <w:t>3.</w:t>
            </w:r>
            <w:r w:rsidR="004D75FC" w:rsidRPr="00083615">
              <w:rPr>
                <w:lang w:eastAsia="en-US"/>
              </w:rPr>
              <w:t>2</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ind w:left="-47"/>
              <w:jc w:val="both"/>
              <w:rPr>
                <w:lang w:eastAsia="en-US"/>
              </w:rPr>
            </w:pPr>
            <w:r w:rsidRPr="00083615">
              <w:rPr>
                <w:lang w:eastAsia="en-US"/>
              </w:rPr>
              <w:t>Нарушения ведения бухгалтерского учета, составление и представления бухгалтерской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4D75FC" w:rsidRPr="00425C68" w:rsidRDefault="004D75FC" w:rsidP="004D75FC">
            <w:pPr>
              <w:ind w:hanging="142"/>
              <w:jc w:val="center"/>
              <w:rPr>
                <w:color w:val="FF0000"/>
                <w:lang w:eastAsia="en-US"/>
              </w:rPr>
            </w:pP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lang w:eastAsia="en-US"/>
              </w:rPr>
            </w:pPr>
            <w:r w:rsidRPr="00083615">
              <w:rPr>
                <w:lang w:eastAsia="en-US"/>
              </w:rPr>
              <w:t>3.</w:t>
            </w:r>
            <w:r w:rsidR="004D75FC" w:rsidRPr="00083615">
              <w:rPr>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ind w:left="-47"/>
              <w:jc w:val="both"/>
              <w:rPr>
                <w:lang w:eastAsia="en-US"/>
              </w:rPr>
            </w:pPr>
            <w:r w:rsidRPr="00083615">
              <w:rPr>
                <w:lang w:eastAsia="en-US"/>
              </w:rPr>
              <w:t>Нарушения в сфере управления и распоряжения государственной (муниципальной) собственностью</w:t>
            </w:r>
          </w:p>
        </w:tc>
        <w:tc>
          <w:tcPr>
            <w:tcW w:w="1559" w:type="dxa"/>
            <w:tcBorders>
              <w:top w:val="single" w:sz="4" w:space="0" w:color="auto"/>
              <w:left w:val="single" w:sz="4" w:space="0" w:color="auto"/>
              <w:bottom w:val="single" w:sz="4" w:space="0" w:color="auto"/>
              <w:right w:val="single" w:sz="4" w:space="0" w:color="auto"/>
            </w:tcBorders>
          </w:tcPr>
          <w:p w:rsidR="004D75FC" w:rsidRPr="00425C68" w:rsidRDefault="004D75FC">
            <w:pPr>
              <w:rPr>
                <w:color w:val="FF0000"/>
                <w:lang w:eastAsia="en-US"/>
              </w:rPr>
            </w:pP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lang w:eastAsia="en-US"/>
              </w:rPr>
            </w:pPr>
            <w:r w:rsidRPr="00083615">
              <w:rPr>
                <w:lang w:eastAsia="en-US"/>
              </w:rPr>
              <w:t>3.</w:t>
            </w:r>
            <w:r w:rsidR="004D75FC" w:rsidRPr="00083615">
              <w:rPr>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lang w:eastAsia="en-US"/>
              </w:rPr>
            </w:pPr>
            <w:r w:rsidRPr="00083615">
              <w:rPr>
                <w:lang w:eastAsia="en-US"/>
              </w:rPr>
              <w:t>Нарушения при осуществлении  государственных (муниципальных) закупок и закупок отдельными видами юридических лиц</w:t>
            </w:r>
          </w:p>
        </w:tc>
        <w:tc>
          <w:tcPr>
            <w:tcW w:w="1559" w:type="dxa"/>
            <w:tcBorders>
              <w:top w:val="single" w:sz="4" w:space="0" w:color="auto"/>
              <w:left w:val="single" w:sz="4" w:space="0" w:color="auto"/>
              <w:bottom w:val="single" w:sz="4" w:space="0" w:color="auto"/>
              <w:right w:val="single" w:sz="4" w:space="0" w:color="auto"/>
            </w:tcBorders>
          </w:tcPr>
          <w:p w:rsidR="004D75FC" w:rsidRPr="00425C68" w:rsidRDefault="004D75FC">
            <w:pPr>
              <w:rPr>
                <w:color w:val="FF0000"/>
                <w:lang w:eastAsia="en-US"/>
              </w:rPr>
            </w:pP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lang w:eastAsia="en-US"/>
              </w:rPr>
            </w:pPr>
            <w:r w:rsidRPr="00083615">
              <w:rPr>
                <w:lang w:eastAsia="en-US"/>
              </w:rPr>
              <w:t>3.5</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ind w:left="-47"/>
              <w:jc w:val="both"/>
              <w:rPr>
                <w:lang w:eastAsia="en-US"/>
              </w:rPr>
            </w:pPr>
            <w:r w:rsidRPr="00083615">
              <w:rPr>
                <w:lang w:eastAsia="en-US"/>
              </w:rPr>
              <w:t>Иные нарушения</w:t>
            </w:r>
          </w:p>
        </w:tc>
        <w:tc>
          <w:tcPr>
            <w:tcW w:w="1559" w:type="dxa"/>
            <w:tcBorders>
              <w:top w:val="single" w:sz="4" w:space="0" w:color="auto"/>
              <w:left w:val="single" w:sz="4" w:space="0" w:color="auto"/>
              <w:bottom w:val="single" w:sz="4" w:space="0" w:color="auto"/>
              <w:right w:val="single" w:sz="4" w:space="0" w:color="auto"/>
            </w:tcBorders>
          </w:tcPr>
          <w:p w:rsidR="004D75FC" w:rsidRPr="00425C68" w:rsidRDefault="004D75FC" w:rsidP="009021CD">
            <w:pPr>
              <w:rPr>
                <w:color w:val="FF0000"/>
                <w:lang w:eastAsia="en-US"/>
              </w:rPr>
            </w:pP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lang w:eastAsia="en-US"/>
              </w:rPr>
            </w:pPr>
            <w:r w:rsidRPr="00083615">
              <w:rPr>
                <w:lang w:eastAsia="en-US"/>
              </w:rPr>
              <w:t>3.6</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ind w:left="-47"/>
              <w:jc w:val="both"/>
              <w:rPr>
                <w:lang w:eastAsia="en-US"/>
              </w:rPr>
            </w:pPr>
            <w:r w:rsidRPr="00083615">
              <w:rPr>
                <w:lang w:eastAsia="en-US"/>
              </w:rPr>
              <w:t>Нецелевое использование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4D75FC" w:rsidRPr="00425C68" w:rsidRDefault="004D75FC">
            <w:pPr>
              <w:ind w:hanging="142"/>
              <w:jc w:val="center"/>
              <w:rPr>
                <w:color w:val="FF0000"/>
                <w:lang w:eastAsia="en-US"/>
              </w:rPr>
            </w:pP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b/>
                <w:lang w:eastAsia="en-US"/>
              </w:rPr>
            </w:pPr>
            <w:r w:rsidRPr="00083615">
              <w:rPr>
                <w:b/>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D75FC" w:rsidRPr="00C31FD4" w:rsidRDefault="00395887" w:rsidP="00395887">
            <w:pPr>
              <w:jc w:val="center"/>
              <w:rPr>
                <w:b/>
                <w:lang w:eastAsia="en-US"/>
              </w:rPr>
            </w:pPr>
            <w:r w:rsidRPr="00C31FD4">
              <w:rPr>
                <w:b/>
                <w:lang w:eastAsia="en-US"/>
              </w:rPr>
              <w:t>-</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4D75FC">
            <w:pPr>
              <w:ind w:hanging="142"/>
              <w:jc w:val="center"/>
              <w:rPr>
                <w:b/>
                <w:lang w:eastAsia="en-US"/>
              </w:rPr>
            </w:pPr>
            <w:r w:rsidRPr="00083615">
              <w:rPr>
                <w:b/>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b/>
                <w:lang w:eastAsia="en-US"/>
              </w:rPr>
            </w:pPr>
            <w:r w:rsidRPr="00083615">
              <w:rPr>
                <w:b/>
                <w:lang w:eastAsia="en-US"/>
              </w:rPr>
              <w:t>Рекомендовано к возврату в местный бюджет (тыс.</w:t>
            </w:r>
            <w:r w:rsidR="00083615" w:rsidRPr="00083615">
              <w:rPr>
                <w:b/>
                <w:lang w:eastAsia="en-US"/>
              </w:rPr>
              <w:t xml:space="preserve"> </w:t>
            </w:r>
            <w:r w:rsidRPr="00083615">
              <w:rPr>
                <w:b/>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D75FC" w:rsidRPr="00C31FD4" w:rsidRDefault="00C31FD4" w:rsidP="00395887">
            <w:pPr>
              <w:ind w:hanging="142"/>
              <w:jc w:val="center"/>
              <w:rPr>
                <w:b/>
                <w:lang w:eastAsia="en-US"/>
              </w:rPr>
            </w:pPr>
            <w:r>
              <w:rPr>
                <w:b/>
                <w:lang w:eastAsia="en-US"/>
              </w:rPr>
              <w:t xml:space="preserve">  </w:t>
            </w:r>
            <w:r w:rsidR="00395887" w:rsidRPr="00C31FD4">
              <w:rPr>
                <w:b/>
                <w:lang w:eastAsia="en-US"/>
              </w:rPr>
              <w:t>-</w:t>
            </w:r>
          </w:p>
        </w:tc>
      </w:tr>
      <w:tr w:rsidR="004D75FC" w:rsidRPr="00425C68" w:rsidTr="004D75FC">
        <w:tc>
          <w:tcPr>
            <w:tcW w:w="756" w:type="dxa"/>
            <w:tcBorders>
              <w:top w:val="single" w:sz="4" w:space="0" w:color="auto"/>
              <w:left w:val="single" w:sz="4" w:space="0" w:color="auto"/>
              <w:bottom w:val="single" w:sz="4" w:space="0" w:color="auto"/>
              <w:right w:val="single" w:sz="4" w:space="0" w:color="auto"/>
            </w:tcBorders>
            <w:hideMark/>
          </w:tcPr>
          <w:p w:rsidR="004D75FC" w:rsidRPr="00083615" w:rsidRDefault="00083615">
            <w:pPr>
              <w:ind w:hanging="142"/>
              <w:jc w:val="center"/>
              <w:rPr>
                <w:b/>
                <w:lang w:eastAsia="en-US"/>
              </w:rPr>
            </w:pPr>
            <w:r w:rsidRPr="00083615">
              <w:rPr>
                <w:b/>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D75FC" w:rsidRPr="00083615" w:rsidRDefault="004D75FC" w:rsidP="00083615">
            <w:pPr>
              <w:jc w:val="both"/>
              <w:rPr>
                <w:b/>
                <w:lang w:eastAsia="en-US"/>
              </w:rPr>
            </w:pPr>
            <w:r w:rsidRPr="00083615">
              <w:rPr>
                <w:b/>
                <w:lang w:eastAsia="en-US"/>
              </w:rPr>
              <w:t>Объем причиненного ущерба (тыс.</w:t>
            </w:r>
            <w:r w:rsidR="00083615" w:rsidRPr="00083615">
              <w:rPr>
                <w:b/>
                <w:lang w:eastAsia="en-US"/>
              </w:rPr>
              <w:t xml:space="preserve"> </w:t>
            </w:r>
            <w:r w:rsidRPr="00083615">
              <w:rPr>
                <w:b/>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D75FC" w:rsidRPr="00C31FD4" w:rsidRDefault="00395887" w:rsidP="00395887">
            <w:pPr>
              <w:jc w:val="center"/>
              <w:rPr>
                <w:b/>
                <w:lang w:eastAsia="en-US"/>
              </w:rPr>
            </w:pPr>
            <w:r w:rsidRPr="00C31FD4">
              <w:rPr>
                <w:b/>
                <w:lang w:eastAsia="en-US"/>
              </w:rPr>
              <w:t>-</w:t>
            </w:r>
          </w:p>
        </w:tc>
      </w:tr>
    </w:tbl>
    <w:p w:rsidR="004D75FC" w:rsidRPr="00083615" w:rsidRDefault="004D75FC" w:rsidP="004D75FC">
      <w:pPr>
        <w:ind w:firstLine="567"/>
        <w:rPr>
          <w:b/>
          <w:sz w:val="18"/>
          <w:szCs w:val="18"/>
        </w:rPr>
      </w:pPr>
      <w:r w:rsidRPr="00083615">
        <w:rPr>
          <w:sz w:val="18"/>
          <w:szCs w:val="18"/>
        </w:rPr>
        <w:t>* - Классификатор нарушений, выявляемых в ходе внешнего государственного аудита (контроля), одобренный Коллегией Счетной палаты РФ 18.12.2014, одобренный Советом контрольно-счетных органов при Счетной палате Российской Федерации.</w:t>
      </w:r>
    </w:p>
    <w:p w:rsidR="00200CE9" w:rsidRDefault="00200CE9" w:rsidP="00395887">
      <w:pPr>
        <w:autoSpaceDE w:val="0"/>
        <w:autoSpaceDN w:val="0"/>
        <w:adjustRightInd w:val="0"/>
        <w:ind w:firstLine="567"/>
        <w:jc w:val="both"/>
        <w:rPr>
          <w:color w:val="FF0000"/>
          <w:u w:val="single"/>
        </w:rPr>
      </w:pPr>
    </w:p>
    <w:p w:rsidR="00200CE9" w:rsidRDefault="00200CE9" w:rsidP="00395887">
      <w:pPr>
        <w:autoSpaceDE w:val="0"/>
        <w:autoSpaceDN w:val="0"/>
        <w:adjustRightInd w:val="0"/>
        <w:ind w:firstLine="567"/>
        <w:jc w:val="both"/>
        <w:rPr>
          <w:color w:val="FF0000"/>
          <w:u w:val="single"/>
        </w:rPr>
      </w:pPr>
    </w:p>
    <w:p w:rsidR="006F2963" w:rsidRDefault="006F2963" w:rsidP="00395887">
      <w:pPr>
        <w:autoSpaceDE w:val="0"/>
        <w:autoSpaceDN w:val="0"/>
        <w:adjustRightInd w:val="0"/>
        <w:ind w:firstLine="567"/>
        <w:jc w:val="both"/>
        <w:rPr>
          <w:color w:val="FF0000"/>
          <w:u w:val="single"/>
        </w:rPr>
      </w:pPr>
    </w:p>
    <w:p w:rsidR="00200CE9" w:rsidRDefault="00200CE9" w:rsidP="00395887">
      <w:pPr>
        <w:autoSpaceDE w:val="0"/>
        <w:autoSpaceDN w:val="0"/>
        <w:adjustRightInd w:val="0"/>
        <w:ind w:firstLine="567"/>
        <w:jc w:val="both"/>
        <w:rPr>
          <w:color w:val="FF0000"/>
          <w:u w:val="single"/>
        </w:rPr>
      </w:pPr>
    </w:p>
    <w:p w:rsidR="00200CE9" w:rsidRPr="00425C68" w:rsidRDefault="00200CE9" w:rsidP="00200CE9">
      <w:pPr>
        <w:ind w:firstLine="567"/>
        <w:jc w:val="both"/>
      </w:pPr>
      <w:r w:rsidRPr="00425C68">
        <w:t>И. о. председателя КСП                                                                А.А. Костюкевич</w:t>
      </w:r>
    </w:p>
    <w:p w:rsidR="00200CE9" w:rsidRPr="00425C68" w:rsidRDefault="00200CE9" w:rsidP="00395887">
      <w:pPr>
        <w:autoSpaceDE w:val="0"/>
        <w:autoSpaceDN w:val="0"/>
        <w:adjustRightInd w:val="0"/>
        <w:ind w:firstLine="567"/>
        <w:jc w:val="both"/>
        <w:rPr>
          <w:color w:val="FF0000"/>
        </w:rPr>
      </w:pPr>
    </w:p>
    <w:sectPr w:rsidR="00200CE9" w:rsidRPr="00425C68" w:rsidSect="007E161F">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CC" w:rsidRDefault="00B650CC">
      <w:r>
        <w:separator/>
      </w:r>
    </w:p>
  </w:endnote>
  <w:endnote w:type="continuationSeparator" w:id="1">
    <w:p w:rsidR="00B650CC" w:rsidRDefault="00B6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18" w:rsidRDefault="00236018"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36018" w:rsidRDefault="00236018"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18" w:rsidRDefault="00236018"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F6EBF">
      <w:rPr>
        <w:rStyle w:val="a4"/>
        <w:noProof/>
      </w:rPr>
      <w:t>13</w:t>
    </w:r>
    <w:r>
      <w:rPr>
        <w:rStyle w:val="a4"/>
      </w:rPr>
      <w:fldChar w:fldCharType="end"/>
    </w:r>
  </w:p>
  <w:p w:rsidR="00236018" w:rsidRDefault="00236018"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CC" w:rsidRDefault="00B650CC">
      <w:r>
        <w:separator/>
      </w:r>
    </w:p>
  </w:footnote>
  <w:footnote w:type="continuationSeparator" w:id="1">
    <w:p w:rsidR="00B650CC" w:rsidRDefault="00B65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E32"/>
    <w:multiLevelType w:val="hybridMultilevel"/>
    <w:tmpl w:val="59EE9B04"/>
    <w:lvl w:ilvl="0" w:tplc="56205BB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DE226A9"/>
    <w:multiLevelType w:val="hybridMultilevel"/>
    <w:tmpl w:val="0382E3E8"/>
    <w:lvl w:ilvl="0" w:tplc="1E8AE2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0E215B"/>
    <w:multiLevelType w:val="hybridMultilevel"/>
    <w:tmpl w:val="D73C9B3A"/>
    <w:lvl w:ilvl="0" w:tplc="9318A30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9A"/>
    <w:rsid w:val="000015C7"/>
    <w:rsid w:val="000018B1"/>
    <w:rsid w:val="000027BB"/>
    <w:rsid w:val="00003A75"/>
    <w:rsid w:val="00003BE0"/>
    <w:rsid w:val="00003DEB"/>
    <w:rsid w:val="000044C7"/>
    <w:rsid w:val="00004598"/>
    <w:rsid w:val="00004AB1"/>
    <w:rsid w:val="00004FC9"/>
    <w:rsid w:val="00005ADC"/>
    <w:rsid w:val="0000673A"/>
    <w:rsid w:val="00007817"/>
    <w:rsid w:val="00007D21"/>
    <w:rsid w:val="00007D6A"/>
    <w:rsid w:val="00007F8E"/>
    <w:rsid w:val="000115D0"/>
    <w:rsid w:val="000126BB"/>
    <w:rsid w:val="0001308F"/>
    <w:rsid w:val="000133A9"/>
    <w:rsid w:val="0001389D"/>
    <w:rsid w:val="0001487E"/>
    <w:rsid w:val="0001519F"/>
    <w:rsid w:val="00015DCB"/>
    <w:rsid w:val="000160DD"/>
    <w:rsid w:val="00020926"/>
    <w:rsid w:val="000209C0"/>
    <w:rsid w:val="00020E62"/>
    <w:rsid w:val="00023721"/>
    <w:rsid w:val="000238EB"/>
    <w:rsid w:val="00026EA7"/>
    <w:rsid w:val="00027F24"/>
    <w:rsid w:val="000323C0"/>
    <w:rsid w:val="000329B0"/>
    <w:rsid w:val="00033B67"/>
    <w:rsid w:val="00034AC3"/>
    <w:rsid w:val="00034AFF"/>
    <w:rsid w:val="000355E7"/>
    <w:rsid w:val="00035E0C"/>
    <w:rsid w:val="000401B8"/>
    <w:rsid w:val="000406B1"/>
    <w:rsid w:val="00040DC6"/>
    <w:rsid w:val="0004175F"/>
    <w:rsid w:val="00041A92"/>
    <w:rsid w:val="00042F5C"/>
    <w:rsid w:val="00043E75"/>
    <w:rsid w:val="00045B0A"/>
    <w:rsid w:val="00047418"/>
    <w:rsid w:val="00050145"/>
    <w:rsid w:val="000509F3"/>
    <w:rsid w:val="00050A38"/>
    <w:rsid w:val="00050EAA"/>
    <w:rsid w:val="000510FB"/>
    <w:rsid w:val="00051A6A"/>
    <w:rsid w:val="00051BE1"/>
    <w:rsid w:val="000523AF"/>
    <w:rsid w:val="00052677"/>
    <w:rsid w:val="00052A52"/>
    <w:rsid w:val="00052C90"/>
    <w:rsid w:val="00053052"/>
    <w:rsid w:val="00054196"/>
    <w:rsid w:val="0005565B"/>
    <w:rsid w:val="00055E4B"/>
    <w:rsid w:val="000577F4"/>
    <w:rsid w:val="000601D9"/>
    <w:rsid w:val="00061E51"/>
    <w:rsid w:val="000627A6"/>
    <w:rsid w:val="00063244"/>
    <w:rsid w:val="00064A24"/>
    <w:rsid w:val="0006503C"/>
    <w:rsid w:val="00065D00"/>
    <w:rsid w:val="00066BE6"/>
    <w:rsid w:val="000675C9"/>
    <w:rsid w:val="00071087"/>
    <w:rsid w:val="00071654"/>
    <w:rsid w:val="00071E73"/>
    <w:rsid w:val="0007213F"/>
    <w:rsid w:val="0007217B"/>
    <w:rsid w:val="00073C21"/>
    <w:rsid w:val="00074952"/>
    <w:rsid w:val="00076D6D"/>
    <w:rsid w:val="000805B6"/>
    <w:rsid w:val="00080834"/>
    <w:rsid w:val="000811A9"/>
    <w:rsid w:val="000816DE"/>
    <w:rsid w:val="00082F99"/>
    <w:rsid w:val="0008305E"/>
    <w:rsid w:val="00083266"/>
    <w:rsid w:val="00083615"/>
    <w:rsid w:val="00084245"/>
    <w:rsid w:val="00084EAC"/>
    <w:rsid w:val="000879A2"/>
    <w:rsid w:val="000909D0"/>
    <w:rsid w:val="0009129A"/>
    <w:rsid w:val="0009182A"/>
    <w:rsid w:val="00091CFF"/>
    <w:rsid w:val="000920D2"/>
    <w:rsid w:val="0009328E"/>
    <w:rsid w:val="0009361D"/>
    <w:rsid w:val="00093712"/>
    <w:rsid w:val="00093EFF"/>
    <w:rsid w:val="0009492A"/>
    <w:rsid w:val="0009530B"/>
    <w:rsid w:val="0009683B"/>
    <w:rsid w:val="0009696E"/>
    <w:rsid w:val="000A13FE"/>
    <w:rsid w:val="000A16A5"/>
    <w:rsid w:val="000A19E9"/>
    <w:rsid w:val="000A1EE0"/>
    <w:rsid w:val="000A2405"/>
    <w:rsid w:val="000A26AF"/>
    <w:rsid w:val="000A2EB3"/>
    <w:rsid w:val="000A31F4"/>
    <w:rsid w:val="000A383F"/>
    <w:rsid w:val="000A390D"/>
    <w:rsid w:val="000A397E"/>
    <w:rsid w:val="000A3E98"/>
    <w:rsid w:val="000A42E6"/>
    <w:rsid w:val="000A73F7"/>
    <w:rsid w:val="000A780B"/>
    <w:rsid w:val="000B07DF"/>
    <w:rsid w:val="000B0A29"/>
    <w:rsid w:val="000B14BD"/>
    <w:rsid w:val="000B20EA"/>
    <w:rsid w:val="000B3B60"/>
    <w:rsid w:val="000B4B5F"/>
    <w:rsid w:val="000B5583"/>
    <w:rsid w:val="000B55DF"/>
    <w:rsid w:val="000C06C8"/>
    <w:rsid w:val="000C124A"/>
    <w:rsid w:val="000C270F"/>
    <w:rsid w:val="000C2A63"/>
    <w:rsid w:val="000C3672"/>
    <w:rsid w:val="000C3A38"/>
    <w:rsid w:val="000C3BD4"/>
    <w:rsid w:val="000C49CF"/>
    <w:rsid w:val="000C4C07"/>
    <w:rsid w:val="000C4CDA"/>
    <w:rsid w:val="000C4D7B"/>
    <w:rsid w:val="000C5D04"/>
    <w:rsid w:val="000C72DD"/>
    <w:rsid w:val="000D2122"/>
    <w:rsid w:val="000D2297"/>
    <w:rsid w:val="000D34FC"/>
    <w:rsid w:val="000D3FCD"/>
    <w:rsid w:val="000D45F9"/>
    <w:rsid w:val="000D5CE2"/>
    <w:rsid w:val="000D63A9"/>
    <w:rsid w:val="000D6451"/>
    <w:rsid w:val="000E1151"/>
    <w:rsid w:val="000E12AF"/>
    <w:rsid w:val="000E24B4"/>
    <w:rsid w:val="000E252F"/>
    <w:rsid w:val="000E490E"/>
    <w:rsid w:val="000E749B"/>
    <w:rsid w:val="000F0666"/>
    <w:rsid w:val="000F0984"/>
    <w:rsid w:val="000F0D23"/>
    <w:rsid w:val="000F163D"/>
    <w:rsid w:val="000F16D0"/>
    <w:rsid w:val="000F27B2"/>
    <w:rsid w:val="000F33CE"/>
    <w:rsid w:val="000F34B8"/>
    <w:rsid w:val="000F36C4"/>
    <w:rsid w:val="000F3FE9"/>
    <w:rsid w:val="000F6818"/>
    <w:rsid w:val="000F6C8A"/>
    <w:rsid w:val="000F799A"/>
    <w:rsid w:val="000F7CDC"/>
    <w:rsid w:val="0010157B"/>
    <w:rsid w:val="00101667"/>
    <w:rsid w:val="001016B8"/>
    <w:rsid w:val="00101830"/>
    <w:rsid w:val="00101EAB"/>
    <w:rsid w:val="00101FC4"/>
    <w:rsid w:val="001051F2"/>
    <w:rsid w:val="001051FF"/>
    <w:rsid w:val="001055AD"/>
    <w:rsid w:val="001062A0"/>
    <w:rsid w:val="001069D3"/>
    <w:rsid w:val="00106E73"/>
    <w:rsid w:val="00107838"/>
    <w:rsid w:val="00111C67"/>
    <w:rsid w:val="00112E08"/>
    <w:rsid w:val="00113866"/>
    <w:rsid w:val="0011388A"/>
    <w:rsid w:val="00114522"/>
    <w:rsid w:val="00114BDB"/>
    <w:rsid w:val="00114F4E"/>
    <w:rsid w:val="00116671"/>
    <w:rsid w:val="0011739E"/>
    <w:rsid w:val="001177F7"/>
    <w:rsid w:val="00120B48"/>
    <w:rsid w:val="001227C6"/>
    <w:rsid w:val="00122872"/>
    <w:rsid w:val="00124EDF"/>
    <w:rsid w:val="00125500"/>
    <w:rsid w:val="00130220"/>
    <w:rsid w:val="001306A3"/>
    <w:rsid w:val="0013177C"/>
    <w:rsid w:val="00131F72"/>
    <w:rsid w:val="0013219E"/>
    <w:rsid w:val="00132484"/>
    <w:rsid w:val="00132CB6"/>
    <w:rsid w:val="0013683F"/>
    <w:rsid w:val="001372F0"/>
    <w:rsid w:val="001376B2"/>
    <w:rsid w:val="0014087B"/>
    <w:rsid w:val="001414E3"/>
    <w:rsid w:val="00141E52"/>
    <w:rsid w:val="00145869"/>
    <w:rsid w:val="001511FD"/>
    <w:rsid w:val="00151F6A"/>
    <w:rsid w:val="0015255F"/>
    <w:rsid w:val="0015475A"/>
    <w:rsid w:val="00154AA1"/>
    <w:rsid w:val="0015512D"/>
    <w:rsid w:val="001554FC"/>
    <w:rsid w:val="00156C76"/>
    <w:rsid w:val="00160610"/>
    <w:rsid w:val="0016086E"/>
    <w:rsid w:val="00160EF8"/>
    <w:rsid w:val="00160F76"/>
    <w:rsid w:val="00161773"/>
    <w:rsid w:val="001619E9"/>
    <w:rsid w:val="00161B5B"/>
    <w:rsid w:val="0016241B"/>
    <w:rsid w:val="001626B6"/>
    <w:rsid w:val="00162C3D"/>
    <w:rsid w:val="00163959"/>
    <w:rsid w:val="00163E5C"/>
    <w:rsid w:val="00164270"/>
    <w:rsid w:val="001642C4"/>
    <w:rsid w:val="00164941"/>
    <w:rsid w:val="00164A71"/>
    <w:rsid w:val="00165242"/>
    <w:rsid w:val="0016654B"/>
    <w:rsid w:val="001701B2"/>
    <w:rsid w:val="00170774"/>
    <w:rsid w:val="00171BD9"/>
    <w:rsid w:val="00172435"/>
    <w:rsid w:val="00172F0F"/>
    <w:rsid w:val="00173465"/>
    <w:rsid w:val="00174963"/>
    <w:rsid w:val="00174E18"/>
    <w:rsid w:val="00174F87"/>
    <w:rsid w:val="0017538A"/>
    <w:rsid w:val="00176377"/>
    <w:rsid w:val="00180AD4"/>
    <w:rsid w:val="00180DC8"/>
    <w:rsid w:val="00180DFF"/>
    <w:rsid w:val="001827BB"/>
    <w:rsid w:val="001827C7"/>
    <w:rsid w:val="00182B74"/>
    <w:rsid w:val="0018370E"/>
    <w:rsid w:val="001854C7"/>
    <w:rsid w:val="00186AED"/>
    <w:rsid w:val="0018793C"/>
    <w:rsid w:val="00187E6D"/>
    <w:rsid w:val="00187F31"/>
    <w:rsid w:val="001904D6"/>
    <w:rsid w:val="00190E46"/>
    <w:rsid w:val="00192485"/>
    <w:rsid w:val="00192646"/>
    <w:rsid w:val="00193264"/>
    <w:rsid w:val="00193732"/>
    <w:rsid w:val="00193F87"/>
    <w:rsid w:val="0019478D"/>
    <w:rsid w:val="00194A62"/>
    <w:rsid w:val="00195134"/>
    <w:rsid w:val="00195FF0"/>
    <w:rsid w:val="0019614D"/>
    <w:rsid w:val="0019641D"/>
    <w:rsid w:val="001976F7"/>
    <w:rsid w:val="0019796E"/>
    <w:rsid w:val="001A0E09"/>
    <w:rsid w:val="001A0E83"/>
    <w:rsid w:val="001A165C"/>
    <w:rsid w:val="001A1D0E"/>
    <w:rsid w:val="001A2B2C"/>
    <w:rsid w:val="001A5183"/>
    <w:rsid w:val="001A72D3"/>
    <w:rsid w:val="001B0134"/>
    <w:rsid w:val="001B06F4"/>
    <w:rsid w:val="001B1D50"/>
    <w:rsid w:val="001B1E4A"/>
    <w:rsid w:val="001B1F7D"/>
    <w:rsid w:val="001B2469"/>
    <w:rsid w:val="001B32EA"/>
    <w:rsid w:val="001B3D38"/>
    <w:rsid w:val="001B48DF"/>
    <w:rsid w:val="001B522A"/>
    <w:rsid w:val="001B5B74"/>
    <w:rsid w:val="001B5E85"/>
    <w:rsid w:val="001B600F"/>
    <w:rsid w:val="001B680B"/>
    <w:rsid w:val="001C0DC9"/>
    <w:rsid w:val="001C11C9"/>
    <w:rsid w:val="001C1631"/>
    <w:rsid w:val="001C171C"/>
    <w:rsid w:val="001C3294"/>
    <w:rsid w:val="001C3935"/>
    <w:rsid w:val="001C3F4A"/>
    <w:rsid w:val="001C5161"/>
    <w:rsid w:val="001C55D2"/>
    <w:rsid w:val="001C64E0"/>
    <w:rsid w:val="001C66EE"/>
    <w:rsid w:val="001C78FD"/>
    <w:rsid w:val="001D0670"/>
    <w:rsid w:val="001D0A56"/>
    <w:rsid w:val="001D11E1"/>
    <w:rsid w:val="001D17F6"/>
    <w:rsid w:val="001D1930"/>
    <w:rsid w:val="001D3B65"/>
    <w:rsid w:val="001D42D7"/>
    <w:rsid w:val="001D4F0F"/>
    <w:rsid w:val="001D6874"/>
    <w:rsid w:val="001D70B3"/>
    <w:rsid w:val="001E270B"/>
    <w:rsid w:val="001E2D86"/>
    <w:rsid w:val="001E4F5B"/>
    <w:rsid w:val="001E6B20"/>
    <w:rsid w:val="001F0B72"/>
    <w:rsid w:val="001F2512"/>
    <w:rsid w:val="001F2D6B"/>
    <w:rsid w:val="001F3030"/>
    <w:rsid w:val="001F3F01"/>
    <w:rsid w:val="001F3F41"/>
    <w:rsid w:val="001F4AAB"/>
    <w:rsid w:val="001F53AD"/>
    <w:rsid w:val="001F59E9"/>
    <w:rsid w:val="001F5A8C"/>
    <w:rsid w:val="001F6669"/>
    <w:rsid w:val="001F6EBB"/>
    <w:rsid w:val="00200882"/>
    <w:rsid w:val="00200CE9"/>
    <w:rsid w:val="00202042"/>
    <w:rsid w:val="00203954"/>
    <w:rsid w:val="002058C7"/>
    <w:rsid w:val="00206E85"/>
    <w:rsid w:val="00207032"/>
    <w:rsid w:val="00207E00"/>
    <w:rsid w:val="0021027F"/>
    <w:rsid w:val="0021063F"/>
    <w:rsid w:val="00210EDA"/>
    <w:rsid w:val="0021339A"/>
    <w:rsid w:val="002134CE"/>
    <w:rsid w:val="00213949"/>
    <w:rsid w:val="00213B06"/>
    <w:rsid w:val="00214728"/>
    <w:rsid w:val="00216C1B"/>
    <w:rsid w:val="00217A16"/>
    <w:rsid w:val="00220B34"/>
    <w:rsid w:val="00220F9D"/>
    <w:rsid w:val="00221B9C"/>
    <w:rsid w:val="00222DE1"/>
    <w:rsid w:val="00224DB8"/>
    <w:rsid w:val="002255E9"/>
    <w:rsid w:val="00226405"/>
    <w:rsid w:val="00226563"/>
    <w:rsid w:val="00226B48"/>
    <w:rsid w:val="002274EE"/>
    <w:rsid w:val="0022762E"/>
    <w:rsid w:val="0022772F"/>
    <w:rsid w:val="002323BE"/>
    <w:rsid w:val="002324EC"/>
    <w:rsid w:val="00234D19"/>
    <w:rsid w:val="002353E4"/>
    <w:rsid w:val="00236018"/>
    <w:rsid w:val="00236522"/>
    <w:rsid w:val="002366A4"/>
    <w:rsid w:val="00236795"/>
    <w:rsid w:val="00236FE6"/>
    <w:rsid w:val="002373AE"/>
    <w:rsid w:val="002379D8"/>
    <w:rsid w:val="00237ADD"/>
    <w:rsid w:val="0024085C"/>
    <w:rsid w:val="00241130"/>
    <w:rsid w:val="00241A4D"/>
    <w:rsid w:val="0024277E"/>
    <w:rsid w:val="00243508"/>
    <w:rsid w:val="00243AEB"/>
    <w:rsid w:val="00243D97"/>
    <w:rsid w:val="002443DF"/>
    <w:rsid w:val="00244AAD"/>
    <w:rsid w:val="0024504C"/>
    <w:rsid w:val="002464D3"/>
    <w:rsid w:val="0024656A"/>
    <w:rsid w:val="00246814"/>
    <w:rsid w:val="00247BC1"/>
    <w:rsid w:val="0025003B"/>
    <w:rsid w:val="00250176"/>
    <w:rsid w:val="0025078A"/>
    <w:rsid w:val="00250D00"/>
    <w:rsid w:val="00251E96"/>
    <w:rsid w:val="00251FD7"/>
    <w:rsid w:val="00252659"/>
    <w:rsid w:val="002528EC"/>
    <w:rsid w:val="00252922"/>
    <w:rsid w:val="0025383A"/>
    <w:rsid w:val="00253F2F"/>
    <w:rsid w:val="002554B8"/>
    <w:rsid w:val="0025556D"/>
    <w:rsid w:val="0025713C"/>
    <w:rsid w:val="002576D8"/>
    <w:rsid w:val="00257EC0"/>
    <w:rsid w:val="002612D7"/>
    <w:rsid w:val="00261EC9"/>
    <w:rsid w:val="002629EF"/>
    <w:rsid w:val="00263278"/>
    <w:rsid w:val="002632A7"/>
    <w:rsid w:val="0026450D"/>
    <w:rsid w:val="002654BD"/>
    <w:rsid w:val="00266DF6"/>
    <w:rsid w:val="002712C9"/>
    <w:rsid w:val="00271EC6"/>
    <w:rsid w:val="0027291A"/>
    <w:rsid w:val="00272A95"/>
    <w:rsid w:val="0027455A"/>
    <w:rsid w:val="002747A8"/>
    <w:rsid w:val="00274A3E"/>
    <w:rsid w:val="002754C1"/>
    <w:rsid w:val="002800C2"/>
    <w:rsid w:val="00281242"/>
    <w:rsid w:val="00281EC8"/>
    <w:rsid w:val="00282178"/>
    <w:rsid w:val="002831E1"/>
    <w:rsid w:val="002842E0"/>
    <w:rsid w:val="00284324"/>
    <w:rsid w:val="002849FC"/>
    <w:rsid w:val="00284DAB"/>
    <w:rsid w:val="00285856"/>
    <w:rsid w:val="00286FEC"/>
    <w:rsid w:val="00287028"/>
    <w:rsid w:val="00290714"/>
    <w:rsid w:val="00291032"/>
    <w:rsid w:val="00291B74"/>
    <w:rsid w:val="00291F87"/>
    <w:rsid w:val="002924E4"/>
    <w:rsid w:val="002928DE"/>
    <w:rsid w:val="00292B05"/>
    <w:rsid w:val="00293317"/>
    <w:rsid w:val="00293C45"/>
    <w:rsid w:val="00293F65"/>
    <w:rsid w:val="00297835"/>
    <w:rsid w:val="00297888"/>
    <w:rsid w:val="00297AD7"/>
    <w:rsid w:val="002A0EC9"/>
    <w:rsid w:val="002A1D83"/>
    <w:rsid w:val="002A25BE"/>
    <w:rsid w:val="002A29F4"/>
    <w:rsid w:val="002A2A1D"/>
    <w:rsid w:val="002A2E4B"/>
    <w:rsid w:val="002A30E7"/>
    <w:rsid w:val="002A3364"/>
    <w:rsid w:val="002A4830"/>
    <w:rsid w:val="002A529A"/>
    <w:rsid w:val="002A554A"/>
    <w:rsid w:val="002A5845"/>
    <w:rsid w:val="002A6BD5"/>
    <w:rsid w:val="002A6EC8"/>
    <w:rsid w:val="002A7BDB"/>
    <w:rsid w:val="002A7DFC"/>
    <w:rsid w:val="002B02BC"/>
    <w:rsid w:val="002B29C3"/>
    <w:rsid w:val="002B2CAA"/>
    <w:rsid w:val="002B3E56"/>
    <w:rsid w:val="002B43D8"/>
    <w:rsid w:val="002B56C5"/>
    <w:rsid w:val="002B723B"/>
    <w:rsid w:val="002B735D"/>
    <w:rsid w:val="002B7937"/>
    <w:rsid w:val="002B7958"/>
    <w:rsid w:val="002C054F"/>
    <w:rsid w:val="002C14C6"/>
    <w:rsid w:val="002C1ED3"/>
    <w:rsid w:val="002C29E9"/>
    <w:rsid w:val="002C2DCA"/>
    <w:rsid w:val="002C3C55"/>
    <w:rsid w:val="002C4827"/>
    <w:rsid w:val="002C54D6"/>
    <w:rsid w:val="002C64DC"/>
    <w:rsid w:val="002C6B8C"/>
    <w:rsid w:val="002C6FF7"/>
    <w:rsid w:val="002C71D1"/>
    <w:rsid w:val="002C7530"/>
    <w:rsid w:val="002C77AF"/>
    <w:rsid w:val="002C7E00"/>
    <w:rsid w:val="002C7EDA"/>
    <w:rsid w:val="002D006F"/>
    <w:rsid w:val="002D241B"/>
    <w:rsid w:val="002D3D90"/>
    <w:rsid w:val="002D3F92"/>
    <w:rsid w:val="002D4695"/>
    <w:rsid w:val="002D4857"/>
    <w:rsid w:val="002D49CB"/>
    <w:rsid w:val="002D58A0"/>
    <w:rsid w:val="002D6893"/>
    <w:rsid w:val="002D71E1"/>
    <w:rsid w:val="002D7290"/>
    <w:rsid w:val="002D7C1C"/>
    <w:rsid w:val="002E0A2E"/>
    <w:rsid w:val="002E1BD6"/>
    <w:rsid w:val="002E20BD"/>
    <w:rsid w:val="002E20F5"/>
    <w:rsid w:val="002E2C47"/>
    <w:rsid w:val="002E3938"/>
    <w:rsid w:val="002E3DF5"/>
    <w:rsid w:val="002E3F50"/>
    <w:rsid w:val="002E5495"/>
    <w:rsid w:val="002E6C0B"/>
    <w:rsid w:val="002E7443"/>
    <w:rsid w:val="002F0BCA"/>
    <w:rsid w:val="002F1304"/>
    <w:rsid w:val="002F17E2"/>
    <w:rsid w:val="002F206B"/>
    <w:rsid w:val="002F274D"/>
    <w:rsid w:val="002F2864"/>
    <w:rsid w:val="002F34F4"/>
    <w:rsid w:val="002F363A"/>
    <w:rsid w:val="002F3C1F"/>
    <w:rsid w:val="002F6858"/>
    <w:rsid w:val="002F6D99"/>
    <w:rsid w:val="003000D5"/>
    <w:rsid w:val="00301BA5"/>
    <w:rsid w:val="00301C37"/>
    <w:rsid w:val="003024E1"/>
    <w:rsid w:val="00302A8D"/>
    <w:rsid w:val="00302AA3"/>
    <w:rsid w:val="0030347A"/>
    <w:rsid w:val="00303545"/>
    <w:rsid w:val="0030372D"/>
    <w:rsid w:val="0030435D"/>
    <w:rsid w:val="0030596D"/>
    <w:rsid w:val="003070F2"/>
    <w:rsid w:val="00307E2C"/>
    <w:rsid w:val="0031053A"/>
    <w:rsid w:val="00311058"/>
    <w:rsid w:val="003121A7"/>
    <w:rsid w:val="003136AF"/>
    <w:rsid w:val="00314848"/>
    <w:rsid w:val="00314DE7"/>
    <w:rsid w:val="00315E01"/>
    <w:rsid w:val="00316762"/>
    <w:rsid w:val="00316BBC"/>
    <w:rsid w:val="003205E3"/>
    <w:rsid w:val="0032160C"/>
    <w:rsid w:val="00322D8E"/>
    <w:rsid w:val="00323D74"/>
    <w:rsid w:val="00324D21"/>
    <w:rsid w:val="00324E8D"/>
    <w:rsid w:val="0032563B"/>
    <w:rsid w:val="00326223"/>
    <w:rsid w:val="0032684B"/>
    <w:rsid w:val="003269FA"/>
    <w:rsid w:val="00327B84"/>
    <w:rsid w:val="003303B1"/>
    <w:rsid w:val="00330596"/>
    <w:rsid w:val="00330AED"/>
    <w:rsid w:val="003316B8"/>
    <w:rsid w:val="0033184B"/>
    <w:rsid w:val="0033194F"/>
    <w:rsid w:val="00331B82"/>
    <w:rsid w:val="003322D7"/>
    <w:rsid w:val="00332EF6"/>
    <w:rsid w:val="00333FEA"/>
    <w:rsid w:val="0033448B"/>
    <w:rsid w:val="0033500C"/>
    <w:rsid w:val="003403BF"/>
    <w:rsid w:val="0034129C"/>
    <w:rsid w:val="0034152A"/>
    <w:rsid w:val="003418C3"/>
    <w:rsid w:val="0034195B"/>
    <w:rsid w:val="00341BF6"/>
    <w:rsid w:val="00341CC9"/>
    <w:rsid w:val="00343AC4"/>
    <w:rsid w:val="00343F2F"/>
    <w:rsid w:val="003454BD"/>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60F05"/>
    <w:rsid w:val="00362AD0"/>
    <w:rsid w:val="00362B99"/>
    <w:rsid w:val="00362CC6"/>
    <w:rsid w:val="00362DFF"/>
    <w:rsid w:val="0036482B"/>
    <w:rsid w:val="00364E7D"/>
    <w:rsid w:val="003663E8"/>
    <w:rsid w:val="003703BB"/>
    <w:rsid w:val="00370F68"/>
    <w:rsid w:val="00371274"/>
    <w:rsid w:val="0037249B"/>
    <w:rsid w:val="00372D3A"/>
    <w:rsid w:val="0037343D"/>
    <w:rsid w:val="00374DC1"/>
    <w:rsid w:val="00376A66"/>
    <w:rsid w:val="00376DFC"/>
    <w:rsid w:val="00380036"/>
    <w:rsid w:val="00380548"/>
    <w:rsid w:val="00380848"/>
    <w:rsid w:val="0038135E"/>
    <w:rsid w:val="00381DDA"/>
    <w:rsid w:val="00381E9C"/>
    <w:rsid w:val="00381FE5"/>
    <w:rsid w:val="00382614"/>
    <w:rsid w:val="003832F8"/>
    <w:rsid w:val="00383A59"/>
    <w:rsid w:val="00383CB8"/>
    <w:rsid w:val="0038422A"/>
    <w:rsid w:val="00384571"/>
    <w:rsid w:val="00384BCF"/>
    <w:rsid w:val="003869F8"/>
    <w:rsid w:val="003873D3"/>
    <w:rsid w:val="00387AF5"/>
    <w:rsid w:val="00391222"/>
    <w:rsid w:val="00391785"/>
    <w:rsid w:val="00393C38"/>
    <w:rsid w:val="00393CED"/>
    <w:rsid w:val="00395887"/>
    <w:rsid w:val="00396165"/>
    <w:rsid w:val="003973BB"/>
    <w:rsid w:val="003A0E7E"/>
    <w:rsid w:val="003A0E87"/>
    <w:rsid w:val="003A102F"/>
    <w:rsid w:val="003A139F"/>
    <w:rsid w:val="003A1934"/>
    <w:rsid w:val="003A21CB"/>
    <w:rsid w:val="003A2562"/>
    <w:rsid w:val="003A3BF1"/>
    <w:rsid w:val="003A4073"/>
    <w:rsid w:val="003A4276"/>
    <w:rsid w:val="003A48F6"/>
    <w:rsid w:val="003A5D95"/>
    <w:rsid w:val="003A6BA9"/>
    <w:rsid w:val="003A6CB5"/>
    <w:rsid w:val="003A7517"/>
    <w:rsid w:val="003B0D32"/>
    <w:rsid w:val="003B298D"/>
    <w:rsid w:val="003B3062"/>
    <w:rsid w:val="003B4DAE"/>
    <w:rsid w:val="003B5595"/>
    <w:rsid w:val="003B61FB"/>
    <w:rsid w:val="003B6651"/>
    <w:rsid w:val="003B748B"/>
    <w:rsid w:val="003C0257"/>
    <w:rsid w:val="003C03A1"/>
    <w:rsid w:val="003C0B71"/>
    <w:rsid w:val="003C1043"/>
    <w:rsid w:val="003C1DA9"/>
    <w:rsid w:val="003C1FC9"/>
    <w:rsid w:val="003C21C7"/>
    <w:rsid w:val="003C2988"/>
    <w:rsid w:val="003C30FF"/>
    <w:rsid w:val="003C3A49"/>
    <w:rsid w:val="003C4EFF"/>
    <w:rsid w:val="003C5040"/>
    <w:rsid w:val="003C6163"/>
    <w:rsid w:val="003C61C0"/>
    <w:rsid w:val="003C6957"/>
    <w:rsid w:val="003C6DAB"/>
    <w:rsid w:val="003C76B1"/>
    <w:rsid w:val="003C7B7C"/>
    <w:rsid w:val="003C7D49"/>
    <w:rsid w:val="003D0F11"/>
    <w:rsid w:val="003D0FAD"/>
    <w:rsid w:val="003D1B78"/>
    <w:rsid w:val="003D2583"/>
    <w:rsid w:val="003D324E"/>
    <w:rsid w:val="003D4201"/>
    <w:rsid w:val="003D521F"/>
    <w:rsid w:val="003D57F4"/>
    <w:rsid w:val="003D5B35"/>
    <w:rsid w:val="003D5C7F"/>
    <w:rsid w:val="003D6DD7"/>
    <w:rsid w:val="003D6DD8"/>
    <w:rsid w:val="003D740A"/>
    <w:rsid w:val="003E0368"/>
    <w:rsid w:val="003E0FE8"/>
    <w:rsid w:val="003E17A4"/>
    <w:rsid w:val="003E23A4"/>
    <w:rsid w:val="003E2CF5"/>
    <w:rsid w:val="003E3C18"/>
    <w:rsid w:val="003E3E2A"/>
    <w:rsid w:val="003E3FF4"/>
    <w:rsid w:val="003E4682"/>
    <w:rsid w:val="003E59F3"/>
    <w:rsid w:val="003E5E35"/>
    <w:rsid w:val="003E65EC"/>
    <w:rsid w:val="003E7160"/>
    <w:rsid w:val="003E74E1"/>
    <w:rsid w:val="003E7904"/>
    <w:rsid w:val="003F07DA"/>
    <w:rsid w:val="003F14A8"/>
    <w:rsid w:val="003F3F2B"/>
    <w:rsid w:val="003F4C32"/>
    <w:rsid w:val="003F58E4"/>
    <w:rsid w:val="004001EA"/>
    <w:rsid w:val="00400608"/>
    <w:rsid w:val="00401066"/>
    <w:rsid w:val="0040121C"/>
    <w:rsid w:val="00402753"/>
    <w:rsid w:val="004046DE"/>
    <w:rsid w:val="00404D22"/>
    <w:rsid w:val="0040545E"/>
    <w:rsid w:val="00406042"/>
    <w:rsid w:val="00406146"/>
    <w:rsid w:val="004064D9"/>
    <w:rsid w:val="0040689A"/>
    <w:rsid w:val="00407F90"/>
    <w:rsid w:val="00410685"/>
    <w:rsid w:val="0041196A"/>
    <w:rsid w:val="00412274"/>
    <w:rsid w:val="00412C0A"/>
    <w:rsid w:val="004131E5"/>
    <w:rsid w:val="004136AB"/>
    <w:rsid w:val="00413794"/>
    <w:rsid w:val="00414716"/>
    <w:rsid w:val="00417CF5"/>
    <w:rsid w:val="00420C5C"/>
    <w:rsid w:val="004215A5"/>
    <w:rsid w:val="0042224E"/>
    <w:rsid w:val="00423731"/>
    <w:rsid w:val="004239BC"/>
    <w:rsid w:val="00424544"/>
    <w:rsid w:val="00424FC0"/>
    <w:rsid w:val="00425C68"/>
    <w:rsid w:val="00425DA3"/>
    <w:rsid w:val="00425DC2"/>
    <w:rsid w:val="004306A4"/>
    <w:rsid w:val="00430CC6"/>
    <w:rsid w:val="00431759"/>
    <w:rsid w:val="0043190A"/>
    <w:rsid w:val="00431986"/>
    <w:rsid w:val="0043238C"/>
    <w:rsid w:val="0043325E"/>
    <w:rsid w:val="00434623"/>
    <w:rsid w:val="00435EAA"/>
    <w:rsid w:val="00435F3B"/>
    <w:rsid w:val="0043792A"/>
    <w:rsid w:val="004401B7"/>
    <w:rsid w:val="00441AE6"/>
    <w:rsid w:val="00442C01"/>
    <w:rsid w:val="004431E5"/>
    <w:rsid w:val="00443AD4"/>
    <w:rsid w:val="0044681A"/>
    <w:rsid w:val="004468BD"/>
    <w:rsid w:val="00446C50"/>
    <w:rsid w:val="00446D06"/>
    <w:rsid w:val="00447054"/>
    <w:rsid w:val="00447635"/>
    <w:rsid w:val="00450832"/>
    <w:rsid w:val="0045091B"/>
    <w:rsid w:val="0045130D"/>
    <w:rsid w:val="00451883"/>
    <w:rsid w:val="0045580C"/>
    <w:rsid w:val="00455C54"/>
    <w:rsid w:val="00455EAE"/>
    <w:rsid w:val="00455FAF"/>
    <w:rsid w:val="004571E3"/>
    <w:rsid w:val="004576C2"/>
    <w:rsid w:val="00457A59"/>
    <w:rsid w:val="004611AD"/>
    <w:rsid w:val="00461846"/>
    <w:rsid w:val="00461943"/>
    <w:rsid w:val="00461D0C"/>
    <w:rsid w:val="00462CC2"/>
    <w:rsid w:val="00462CE9"/>
    <w:rsid w:val="00462DA9"/>
    <w:rsid w:val="00463B17"/>
    <w:rsid w:val="00465C1B"/>
    <w:rsid w:val="00465EE2"/>
    <w:rsid w:val="00466A06"/>
    <w:rsid w:val="004676AA"/>
    <w:rsid w:val="00467834"/>
    <w:rsid w:val="004679E3"/>
    <w:rsid w:val="00467CB6"/>
    <w:rsid w:val="00470126"/>
    <w:rsid w:val="00470E73"/>
    <w:rsid w:val="004716E4"/>
    <w:rsid w:val="004719E0"/>
    <w:rsid w:val="00472088"/>
    <w:rsid w:val="0047351F"/>
    <w:rsid w:val="0047376E"/>
    <w:rsid w:val="0047445B"/>
    <w:rsid w:val="00474D45"/>
    <w:rsid w:val="004751D2"/>
    <w:rsid w:val="0047561C"/>
    <w:rsid w:val="00475F03"/>
    <w:rsid w:val="00476CEC"/>
    <w:rsid w:val="00476FBB"/>
    <w:rsid w:val="00477C65"/>
    <w:rsid w:val="0048414A"/>
    <w:rsid w:val="00485BD0"/>
    <w:rsid w:val="00486C25"/>
    <w:rsid w:val="00486F09"/>
    <w:rsid w:val="004872D4"/>
    <w:rsid w:val="00487AF2"/>
    <w:rsid w:val="00487BA2"/>
    <w:rsid w:val="004907A7"/>
    <w:rsid w:val="004917A2"/>
    <w:rsid w:val="00493979"/>
    <w:rsid w:val="00495598"/>
    <w:rsid w:val="00496B66"/>
    <w:rsid w:val="00496BF7"/>
    <w:rsid w:val="00496E2F"/>
    <w:rsid w:val="004970DD"/>
    <w:rsid w:val="004973FC"/>
    <w:rsid w:val="004A01F0"/>
    <w:rsid w:val="004A2476"/>
    <w:rsid w:val="004A2D5C"/>
    <w:rsid w:val="004A43FA"/>
    <w:rsid w:val="004A50F9"/>
    <w:rsid w:val="004A62DE"/>
    <w:rsid w:val="004A6BD5"/>
    <w:rsid w:val="004B07C4"/>
    <w:rsid w:val="004B1BC5"/>
    <w:rsid w:val="004B230B"/>
    <w:rsid w:val="004B2D83"/>
    <w:rsid w:val="004B306D"/>
    <w:rsid w:val="004B3B1A"/>
    <w:rsid w:val="004B402B"/>
    <w:rsid w:val="004B482F"/>
    <w:rsid w:val="004B518B"/>
    <w:rsid w:val="004B5886"/>
    <w:rsid w:val="004B6934"/>
    <w:rsid w:val="004B72AA"/>
    <w:rsid w:val="004C000A"/>
    <w:rsid w:val="004C1725"/>
    <w:rsid w:val="004C1837"/>
    <w:rsid w:val="004C2535"/>
    <w:rsid w:val="004C2C8A"/>
    <w:rsid w:val="004C349D"/>
    <w:rsid w:val="004C4420"/>
    <w:rsid w:val="004C48FB"/>
    <w:rsid w:val="004C5034"/>
    <w:rsid w:val="004C7B01"/>
    <w:rsid w:val="004D02AC"/>
    <w:rsid w:val="004D3904"/>
    <w:rsid w:val="004D45CC"/>
    <w:rsid w:val="004D47FB"/>
    <w:rsid w:val="004D4C93"/>
    <w:rsid w:val="004D5987"/>
    <w:rsid w:val="004D6130"/>
    <w:rsid w:val="004D65D6"/>
    <w:rsid w:val="004D67F6"/>
    <w:rsid w:val="004D6830"/>
    <w:rsid w:val="004D75FC"/>
    <w:rsid w:val="004D79B4"/>
    <w:rsid w:val="004E0152"/>
    <w:rsid w:val="004E0969"/>
    <w:rsid w:val="004E1090"/>
    <w:rsid w:val="004E23A9"/>
    <w:rsid w:val="004E3333"/>
    <w:rsid w:val="004E3954"/>
    <w:rsid w:val="004E3D73"/>
    <w:rsid w:val="004E4290"/>
    <w:rsid w:val="004E4B94"/>
    <w:rsid w:val="004E4CFC"/>
    <w:rsid w:val="004E4EC0"/>
    <w:rsid w:val="004E4FBC"/>
    <w:rsid w:val="004E7488"/>
    <w:rsid w:val="004E7A11"/>
    <w:rsid w:val="004E7B4F"/>
    <w:rsid w:val="004E7F4D"/>
    <w:rsid w:val="004F01B6"/>
    <w:rsid w:val="004F09E9"/>
    <w:rsid w:val="004F2E6F"/>
    <w:rsid w:val="004F3147"/>
    <w:rsid w:val="004F351D"/>
    <w:rsid w:val="004F3875"/>
    <w:rsid w:val="004F3E0F"/>
    <w:rsid w:val="004F46F7"/>
    <w:rsid w:val="004F4D27"/>
    <w:rsid w:val="004F6324"/>
    <w:rsid w:val="004F69A5"/>
    <w:rsid w:val="004F70BF"/>
    <w:rsid w:val="004F7433"/>
    <w:rsid w:val="004F7964"/>
    <w:rsid w:val="004F7A4C"/>
    <w:rsid w:val="004F7AE0"/>
    <w:rsid w:val="005023F8"/>
    <w:rsid w:val="0050266D"/>
    <w:rsid w:val="005029BE"/>
    <w:rsid w:val="00504B64"/>
    <w:rsid w:val="00504E21"/>
    <w:rsid w:val="005054E5"/>
    <w:rsid w:val="00505BFD"/>
    <w:rsid w:val="005068F4"/>
    <w:rsid w:val="00506B3B"/>
    <w:rsid w:val="00506D92"/>
    <w:rsid w:val="0051029E"/>
    <w:rsid w:val="0051126D"/>
    <w:rsid w:val="005125D3"/>
    <w:rsid w:val="00512B1F"/>
    <w:rsid w:val="00512C53"/>
    <w:rsid w:val="0051331A"/>
    <w:rsid w:val="00513716"/>
    <w:rsid w:val="0051531B"/>
    <w:rsid w:val="00516A33"/>
    <w:rsid w:val="00517FEB"/>
    <w:rsid w:val="00520294"/>
    <w:rsid w:val="00521966"/>
    <w:rsid w:val="00522117"/>
    <w:rsid w:val="0052348A"/>
    <w:rsid w:val="005239E3"/>
    <w:rsid w:val="00523EB3"/>
    <w:rsid w:val="0052590F"/>
    <w:rsid w:val="005268D3"/>
    <w:rsid w:val="0052763A"/>
    <w:rsid w:val="00527EA2"/>
    <w:rsid w:val="00530414"/>
    <w:rsid w:val="00531DB7"/>
    <w:rsid w:val="00531E71"/>
    <w:rsid w:val="00532524"/>
    <w:rsid w:val="005337ED"/>
    <w:rsid w:val="00533E56"/>
    <w:rsid w:val="005364F6"/>
    <w:rsid w:val="00537349"/>
    <w:rsid w:val="00541087"/>
    <w:rsid w:val="00541131"/>
    <w:rsid w:val="0054157D"/>
    <w:rsid w:val="005420F2"/>
    <w:rsid w:val="00542424"/>
    <w:rsid w:val="00542EA7"/>
    <w:rsid w:val="005434A6"/>
    <w:rsid w:val="005435CF"/>
    <w:rsid w:val="00543EA2"/>
    <w:rsid w:val="005458EB"/>
    <w:rsid w:val="00545B68"/>
    <w:rsid w:val="00545E28"/>
    <w:rsid w:val="005467F8"/>
    <w:rsid w:val="00551846"/>
    <w:rsid w:val="00553645"/>
    <w:rsid w:val="00554FC0"/>
    <w:rsid w:val="00555B52"/>
    <w:rsid w:val="00555E59"/>
    <w:rsid w:val="0055621C"/>
    <w:rsid w:val="00556B72"/>
    <w:rsid w:val="00556E75"/>
    <w:rsid w:val="0055781A"/>
    <w:rsid w:val="005578AD"/>
    <w:rsid w:val="00557FDC"/>
    <w:rsid w:val="00560679"/>
    <w:rsid w:val="00560AC4"/>
    <w:rsid w:val="0056189B"/>
    <w:rsid w:val="00561A26"/>
    <w:rsid w:val="00562FC1"/>
    <w:rsid w:val="005641BC"/>
    <w:rsid w:val="00564928"/>
    <w:rsid w:val="00564A19"/>
    <w:rsid w:val="00564DFF"/>
    <w:rsid w:val="005659BA"/>
    <w:rsid w:val="005664D4"/>
    <w:rsid w:val="00566ED6"/>
    <w:rsid w:val="005670A9"/>
    <w:rsid w:val="00567BF1"/>
    <w:rsid w:val="00570224"/>
    <w:rsid w:val="00572B12"/>
    <w:rsid w:val="0057412C"/>
    <w:rsid w:val="0057417F"/>
    <w:rsid w:val="00574E1E"/>
    <w:rsid w:val="00575AED"/>
    <w:rsid w:val="00576C87"/>
    <w:rsid w:val="00577559"/>
    <w:rsid w:val="00580027"/>
    <w:rsid w:val="005806F3"/>
    <w:rsid w:val="00580A91"/>
    <w:rsid w:val="00580D35"/>
    <w:rsid w:val="00580D96"/>
    <w:rsid w:val="005811D7"/>
    <w:rsid w:val="005825C2"/>
    <w:rsid w:val="00582AAC"/>
    <w:rsid w:val="00583747"/>
    <w:rsid w:val="00584024"/>
    <w:rsid w:val="00584119"/>
    <w:rsid w:val="005848FD"/>
    <w:rsid w:val="005857C4"/>
    <w:rsid w:val="00585A82"/>
    <w:rsid w:val="00585FF2"/>
    <w:rsid w:val="005879A5"/>
    <w:rsid w:val="005905E1"/>
    <w:rsid w:val="0059221F"/>
    <w:rsid w:val="00592548"/>
    <w:rsid w:val="00592637"/>
    <w:rsid w:val="00592C7E"/>
    <w:rsid w:val="00594CC0"/>
    <w:rsid w:val="00594D39"/>
    <w:rsid w:val="00594EF5"/>
    <w:rsid w:val="0059573D"/>
    <w:rsid w:val="00597783"/>
    <w:rsid w:val="005A017E"/>
    <w:rsid w:val="005A0218"/>
    <w:rsid w:val="005A16D0"/>
    <w:rsid w:val="005A18D7"/>
    <w:rsid w:val="005A19C9"/>
    <w:rsid w:val="005A3675"/>
    <w:rsid w:val="005A378A"/>
    <w:rsid w:val="005A3E96"/>
    <w:rsid w:val="005A4464"/>
    <w:rsid w:val="005A469F"/>
    <w:rsid w:val="005A46CF"/>
    <w:rsid w:val="005A4D0B"/>
    <w:rsid w:val="005A56D4"/>
    <w:rsid w:val="005A59A2"/>
    <w:rsid w:val="005A6341"/>
    <w:rsid w:val="005B0C0E"/>
    <w:rsid w:val="005B1976"/>
    <w:rsid w:val="005B1BF8"/>
    <w:rsid w:val="005B227D"/>
    <w:rsid w:val="005B29C1"/>
    <w:rsid w:val="005B2B61"/>
    <w:rsid w:val="005B320F"/>
    <w:rsid w:val="005B3654"/>
    <w:rsid w:val="005B4A20"/>
    <w:rsid w:val="005B562B"/>
    <w:rsid w:val="005B5945"/>
    <w:rsid w:val="005B79E3"/>
    <w:rsid w:val="005C0306"/>
    <w:rsid w:val="005C05A6"/>
    <w:rsid w:val="005C07FA"/>
    <w:rsid w:val="005C0DC1"/>
    <w:rsid w:val="005C185D"/>
    <w:rsid w:val="005C2481"/>
    <w:rsid w:val="005C26C5"/>
    <w:rsid w:val="005C294C"/>
    <w:rsid w:val="005C2B0E"/>
    <w:rsid w:val="005C3734"/>
    <w:rsid w:val="005C459B"/>
    <w:rsid w:val="005C49E3"/>
    <w:rsid w:val="005C49FC"/>
    <w:rsid w:val="005C4EFD"/>
    <w:rsid w:val="005C56A8"/>
    <w:rsid w:val="005C5B10"/>
    <w:rsid w:val="005C5C6A"/>
    <w:rsid w:val="005C697B"/>
    <w:rsid w:val="005C7360"/>
    <w:rsid w:val="005C75F8"/>
    <w:rsid w:val="005C77BA"/>
    <w:rsid w:val="005D0563"/>
    <w:rsid w:val="005D0C8E"/>
    <w:rsid w:val="005D22D3"/>
    <w:rsid w:val="005D24BD"/>
    <w:rsid w:val="005D399A"/>
    <w:rsid w:val="005D4F64"/>
    <w:rsid w:val="005D584E"/>
    <w:rsid w:val="005D5941"/>
    <w:rsid w:val="005D6309"/>
    <w:rsid w:val="005D791D"/>
    <w:rsid w:val="005E1406"/>
    <w:rsid w:val="005E1830"/>
    <w:rsid w:val="005E64BF"/>
    <w:rsid w:val="005E6742"/>
    <w:rsid w:val="005E6959"/>
    <w:rsid w:val="005E70D5"/>
    <w:rsid w:val="005E73D5"/>
    <w:rsid w:val="005E7FED"/>
    <w:rsid w:val="005F1BBD"/>
    <w:rsid w:val="005F2148"/>
    <w:rsid w:val="005F267B"/>
    <w:rsid w:val="005F3C14"/>
    <w:rsid w:val="005F4835"/>
    <w:rsid w:val="005F4F5F"/>
    <w:rsid w:val="005F514D"/>
    <w:rsid w:val="005F5FA0"/>
    <w:rsid w:val="005F61E4"/>
    <w:rsid w:val="005F6764"/>
    <w:rsid w:val="005F6C03"/>
    <w:rsid w:val="005F6D02"/>
    <w:rsid w:val="005F6D13"/>
    <w:rsid w:val="005F74A6"/>
    <w:rsid w:val="006003AC"/>
    <w:rsid w:val="00601504"/>
    <w:rsid w:val="00601EBB"/>
    <w:rsid w:val="00603168"/>
    <w:rsid w:val="00603C14"/>
    <w:rsid w:val="006045C1"/>
    <w:rsid w:val="006059F6"/>
    <w:rsid w:val="00605C1F"/>
    <w:rsid w:val="00606A91"/>
    <w:rsid w:val="00607484"/>
    <w:rsid w:val="00607979"/>
    <w:rsid w:val="00610355"/>
    <w:rsid w:val="00611607"/>
    <w:rsid w:val="006129C1"/>
    <w:rsid w:val="0061393B"/>
    <w:rsid w:val="0061553F"/>
    <w:rsid w:val="00615BDF"/>
    <w:rsid w:val="00617D77"/>
    <w:rsid w:val="006219AA"/>
    <w:rsid w:val="00621A01"/>
    <w:rsid w:val="00622C5C"/>
    <w:rsid w:val="006238A2"/>
    <w:rsid w:val="006247D7"/>
    <w:rsid w:val="0062487F"/>
    <w:rsid w:val="00624F08"/>
    <w:rsid w:val="006252BE"/>
    <w:rsid w:val="006260B4"/>
    <w:rsid w:val="00626EC0"/>
    <w:rsid w:val="006271BE"/>
    <w:rsid w:val="0063020A"/>
    <w:rsid w:val="00630737"/>
    <w:rsid w:val="006312A0"/>
    <w:rsid w:val="0063145D"/>
    <w:rsid w:val="006323E8"/>
    <w:rsid w:val="00632561"/>
    <w:rsid w:val="0063407E"/>
    <w:rsid w:val="00635515"/>
    <w:rsid w:val="00635AC0"/>
    <w:rsid w:val="00635B08"/>
    <w:rsid w:val="00635D3F"/>
    <w:rsid w:val="00635EBF"/>
    <w:rsid w:val="006366A6"/>
    <w:rsid w:val="0064077A"/>
    <w:rsid w:val="00640D9C"/>
    <w:rsid w:val="0064113B"/>
    <w:rsid w:val="006418EF"/>
    <w:rsid w:val="00641E36"/>
    <w:rsid w:val="006425A1"/>
    <w:rsid w:val="00643CAC"/>
    <w:rsid w:val="0064561F"/>
    <w:rsid w:val="00645ABF"/>
    <w:rsid w:val="00650116"/>
    <w:rsid w:val="006508BF"/>
    <w:rsid w:val="00650BC9"/>
    <w:rsid w:val="00652405"/>
    <w:rsid w:val="00653AB8"/>
    <w:rsid w:val="006540DF"/>
    <w:rsid w:val="00654C34"/>
    <w:rsid w:val="0065526D"/>
    <w:rsid w:val="00655329"/>
    <w:rsid w:val="006556E0"/>
    <w:rsid w:val="00655D3C"/>
    <w:rsid w:val="006562DE"/>
    <w:rsid w:val="00656D53"/>
    <w:rsid w:val="00656F83"/>
    <w:rsid w:val="0065790B"/>
    <w:rsid w:val="006621FB"/>
    <w:rsid w:val="0066289B"/>
    <w:rsid w:val="0066324D"/>
    <w:rsid w:val="00663A0C"/>
    <w:rsid w:val="00663BBA"/>
    <w:rsid w:val="00664845"/>
    <w:rsid w:val="00664BB6"/>
    <w:rsid w:val="00665757"/>
    <w:rsid w:val="00665B41"/>
    <w:rsid w:val="00666A12"/>
    <w:rsid w:val="00666C37"/>
    <w:rsid w:val="00666CA9"/>
    <w:rsid w:val="00666FE9"/>
    <w:rsid w:val="00667376"/>
    <w:rsid w:val="006678C4"/>
    <w:rsid w:val="00667C80"/>
    <w:rsid w:val="00671995"/>
    <w:rsid w:val="006726A8"/>
    <w:rsid w:val="006734D8"/>
    <w:rsid w:val="006747B9"/>
    <w:rsid w:val="006759E3"/>
    <w:rsid w:val="00676830"/>
    <w:rsid w:val="00676E60"/>
    <w:rsid w:val="00676E9E"/>
    <w:rsid w:val="00677C87"/>
    <w:rsid w:val="00680A3F"/>
    <w:rsid w:val="00682743"/>
    <w:rsid w:val="00684823"/>
    <w:rsid w:val="00684FC8"/>
    <w:rsid w:val="00687150"/>
    <w:rsid w:val="00687681"/>
    <w:rsid w:val="0068770C"/>
    <w:rsid w:val="00687C2C"/>
    <w:rsid w:val="00690D8D"/>
    <w:rsid w:val="00691493"/>
    <w:rsid w:val="00691B39"/>
    <w:rsid w:val="00691C46"/>
    <w:rsid w:val="0069294A"/>
    <w:rsid w:val="00692EAA"/>
    <w:rsid w:val="00694DC1"/>
    <w:rsid w:val="0069527C"/>
    <w:rsid w:val="0069533C"/>
    <w:rsid w:val="006A0655"/>
    <w:rsid w:val="006A10ED"/>
    <w:rsid w:val="006A15C1"/>
    <w:rsid w:val="006A1F4B"/>
    <w:rsid w:val="006A230A"/>
    <w:rsid w:val="006A2AD8"/>
    <w:rsid w:val="006A3316"/>
    <w:rsid w:val="006A4AB3"/>
    <w:rsid w:val="006A68F2"/>
    <w:rsid w:val="006B29A5"/>
    <w:rsid w:val="006B2CCD"/>
    <w:rsid w:val="006B5958"/>
    <w:rsid w:val="006B6B95"/>
    <w:rsid w:val="006C082A"/>
    <w:rsid w:val="006C13A0"/>
    <w:rsid w:val="006C1F59"/>
    <w:rsid w:val="006C257E"/>
    <w:rsid w:val="006C2D4C"/>
    <w:rsid w:val="006C2D8A"/>
    <w:rsid w:val="006C3568"/>
    <w:rsid w:val="006C3893"/>
    <w:rsid w:val="006C39F1"/>
    <w:rsid w:val="006C46AE"/>
    <w:rsid w:val="006C780D"/>
    <w:rsid w:val="006C7E2A"/>
    <w:rsid w:val="006C7F25"/>
    <w:rsid w:val="006C7FE1"/>
    <w:rsid w:val="006D05CE"/>
    <w:rsid w:val="006D1621"/>
    <w:rsid w:val="006D1717"/>
    <w:rsid w:val="006D248D"/>
    <w:rsid w:val="006D2B0D"/>
    <w:rsid w:val="006D2B88"/>
    <w:rsid w:val="006D3C4A"/>
    <w:rsid w:val="006D4315"/>
    <w:rsid w:val="006D535A"/>
    <w:rsid w:val="006D6E30"/>
    <w:rsid w:val="006D6EA3"/>
    <w:rsid w:val="006E0553"/>
    <w:rsid w:val="006E0D60"/>
    <w:rsid w:val="006E14DA"/>
    <w:rsid w:val="006E1BBA"/>
    <w:rsid w:val="006E1F4A"/>
    <w:rsid w:val="006E349D"/>
    <w:rsid w:val="006E3669"/>
    <w:rsid w:val="006E4A8F"/>
    <w:rsid w:val="006E50D9"/>
    <w:rsid w:val="006E700A"/>
    <w:rsid w:val="006E7251"/>
    <w:rsid w:val="006F046E"/>
    <w:rsid w:val="006F085C"/>
    <w:rsid w:val="006F1845"/>
    <w:rsid w:val="006F2963"/>
    <w:rsid w:val="006F3255"/>
    <w:rsid w:val="006F3710"/>
    <w:rsid w:val="006F4E82"/>
    <w:rsid w:val="006F5415"/>
    <w:rsid w:val="006F5828"/>
    <w:rsid w:val="006F5A54"/>
    <w:rsid w:val="006F62F3"/>
    <w:rsid w:val="006F64B8"/>
    <w:rsid w:val="006F6A4F"/>
    <w:rsid w:val="00700D30"/>
    <w:rsid w:val="0070194D"/>
    <w:rsid w:val="00702CDA"/>
    <w:rsid w:val="00703007"/>
    <w:rsid w:val="00703111"/>
    <w:rsid w:val="0070364E"/>
    <w:rsid w:val="00704063"/>
    <w:rsid w:val="007055C2"/>
    <w:rsid w:val="007063BF"/>
    <w:rsid w:val="00706483"/>
    <w:rsid w:val="00706681"/>
    <w:rsid w:val="00707680"/>
    <w:rsid w:val="00707E85"/>
    <w:rsid w:val="007101E4"/>
    <w:rsid w:val="00711367"/>
    <w:rsid w:val="00711503"/>
    <w:rsid w:val="00711C41"/>
    <w:rsid w:val="00711F6D"/>
    <w:rsid w:val="00712CFE"/>
    <w:rsid w:val="007138C6"/>
    <w:rsid w:val="00714157"/>
    <w:rsid w:val="00715186"/>
    <w:rsid w:val="007171EC"/>
    <w:rsid w:val="00720854"/>
    <w:rsid w:val="007216DE"/>
    <w:rsid w:val="00721CA4"/>
    <w:rsid w:val="00723D42"/>
    <w:rsid w:val="00723E2E"/>
    <w:rsid w:val="00724364"/>
    <w:rsid w:val="00724B6A"/>
    <w:rsid w:val="00725056"/>
    <w:rsid w:val="00725CAA"/>
    <w:rsid w:val="00731015"/>
    <w:rsid w:val="00731C95"/>
    <w:rsid w:val="00732946"/>
    <w:rsid w:val="00733622"/>
    <w:rsid w:val="00733840"/>
    <w:rsid w:val="007361BD"/>
    <w:rsid w:val="007369C7"/>
    <w:rsid w:val="00736B37"/>
    <w:rsid w:val="00736C7B"/>
    <w:rsid w:val="007405ED"/>
    <w:rsid w:val="00741C13"/>
    <w:rsid w:val="007425ED"/>
    <w:rsid w:val="0074290A"/>
    <w:rsid w:val="00744A39"/>
    <w:rsid w:val="00745A15"/>
    <w:rsid w:val="00745EF0"/>
    <w:rsid w:val="00747987"/>
    <w:rsid w:val="00750206"/>
    <w:rsid w:val="00751F4A"/>
    <w:rsid w:val="007520AF"/>
    <w:rsid w:val="007524F1"/>
    <w:rsid w:val="0075286B"/>
    <w:rsid w:val="00753AA6"/>
    <w:rsid w:val="00753DD9"/>
    <w:rsid w:val="00755B77"/>
    <w:rsid w:val="00756051"/>
    <w:rsid w:val="00757254"/>
    <w:rsid w:val="007579FC"/>
    <w:rsid w:val="00760163"/>
    <w:rsid w:val="007604CE"/>
    <w:rsid w:val="00760539"/>
    <w:rsid w:val="00761F8D"/>
    <w:rsid w:val="00762A5C"/>
    <w:rsid w:val="00762D11"/>
    <w:rsid w:val="00764634"/>
    <w:rsid w:val="007650B1"/>
    <w:rsid w:val="00765A40"/>
    <w:rsid w:val="00765B7A"/>
    <w:rsid w:val="007668C0"/>
    <w:rsid w:val="0076698B"/>
    <w:rsid w:val="00767A66"/>
    <w:rsid w:val="00770085"/>
    <w:rsid w:val="00770A16"/>
    <w:rsid w:val="00770AE3"/>
    <w:rsid w:val="00770FAF"/>
    <w:rsid w:val="00771253"/>
    <w:rsid w:val="0077127F"/>
    <w:rsid w:val="007716BC"/>
    <w:rsid w:val="00771CB7"/>
    <w:rsid w:val="00772025"/>
    <w:rsid w:val="00772225"/>
    <w:rsid w:val="00772268"/>
    <w:rsid w:val="00772380"/>
    <w:rsid w:val="00772D23"/>
    <w:rsid w:val="00773567"/>
    <w:rsid w:val="00773886"/>
    <w:rsid w:val="00774606"/>
    <w:rsid w:val="0077479F"/>
    <w:rsid w:val="00775795"/>
    <w:rsid w:val="00775AB9"/>
    <w:rsid w:val="00775EA1"/>
    <w:rsid w:val="00776253"/>
    <w:rsid w:val="007775D6"/>
    <w:rsid w:val="00781121"/>
    <w:rsid w:val="007814DC"/>
    <w:rsid w:val="0078229F"/>
    <w:rsid w:val="007829DB"/>
    <w:rsid w:val="00782FFA"/>
    <w:rsid w:val="007832E1"/>
    <w:rsid w:val="00783BC9"/>
    <w:rsid w:val="00786261"/>
    <w:rsid w:val="007865C0"/>
    <w:rsid w:val="007866EC"/>
    <w:rsid w:val="00786998"/>
    <w:rsid w:val="0078748F"/>
    <w:rsid w:val="007874E8"/>
    <w:rsid w:val="00790D28"/>
    <w:rsid w:val="0079124D"/>
    <w:rsid w:val="007914A3"/>
    <w:rsid w:val="007918CE"/>
    <w:rsid w:val="00792F78"/>
    <w:rsid w:val="00793557"/>
    <w:rsid w:val="00793E9C"/>
    <w:rsid w:val="00795862"/>
    <w:rsid w:val="00795D55"/>
    <w:rsid w:val="007964C3"/>
    <w:rsid w:val="00796677"/>
    <w:rsid w:val="007A02DE"/>
    <w:rsid w:val="007A0C07"/>
    <w:rsid w:val="007A102F"/>
    <w:rsid w:val="007A1D51"/>
    <w:rsid w:val="007A2761"/>
    <w:rsid w:val="007A3168"/>
    <w:rsid w:val="007A37A9"/>
    <w:rsid w:val="007A3994"/>
    <w:rsid w:val="007A55E0"/>
    <w:rsid w:val="007A5F20"/>
    <w:rsid w:val="007A63D7"/>
    <w:rsid w:val="007A787D"/>
    <w:rsid w:val="007B11B2"/>
    <w:rsid w:val="007B19DF"/>
    <w:rsid w:val="007B283F"/>
    <w:rsid w:val="007B2BE1"/>
    <w:rsid w:val="007B3AA9"/>
    <w:rsid w:val="007B3B93"/>
    <w:rsid w:val="007B466F"/>
    <w:rsid w:val="007B4778"/>
    <w:rsid w:val="007B4D4D"/>
    <w:rsid w:val="007B6981"/>
    <w:rsid w:val="007B7085"/>
    <w:rsid w:val="007B7D90"/>
    <w:rsid w:val="007C0ED0"/>
    <w:rsid w:val="007C1734"/>
    <w:rsid w:val="007C1CF6"/>
    <w:rsid w:val="007C1EFC"/>
    <w:rsid w:val="007C3C2C"/>
    <w:rsid w:val="007C570F"/>
    <w:rsid w:val="007C5A60"/>
    <w:rsid w:val="007C628D"/>
    <w:rsid w:val="007C745A"/>
    <w:rsid w:val="007C7502"/>
    <w:rsid w:val="007C779F"/>
    <w:rsid w:val="007D33A0"/>
    <w:rsid w:val="007D3AC2"/>
    <w:rsid w:val="007D414E"/>
    <w:rsid w:val="007D4B89"/>
    <w:rsid w:val="007D5333"/>
    <w:rsid w:val="007D5405"/>
    <w:rsid w:val="007D64D3"/>
    <w:rsid w:val="007D7503"/>
    <w:rsid w:val="007D77CF"/>
    <w:rsid w:val="007D788A"/>
    <w:rsid w:val="007D7C89"/>
    <w:rsid w:val="007E0179"/>
    <w:rsid w:val="007E08EC"/>
    <w:rsid w:val="007E1115"/>
    <w:rsid w:val="007E1237"/>
    <w:rsid w:val="007E161F"/>
    <w:rsid w:val="007E16CC"/>
    <w:rsid w:val="007E26A1"/>
    <w:rsid w:val="007E3B32"/>
    <w:rsid w:val="007E3D0A"/>
    <w:rsid w:val="007E3DE8"/>
    <w:rsid w:val="007E4588"/>
    <w:rsid w:val="007E4C28"/>
    <w:rsid w:val="007E6902"/>
    <w:rsid w:val="007E6AED"/>
    <w:rsid w:val="007E6FD8"/>
    <w:rsid w:val="007E74D8"/>
    <w:rsid w:val="007E7D40"/>
    <w:rsid w:val="007F012E"/>
    <w:rsid w:val="007F025C"/>
    <w:rsid w:val="007F07BB"/>
    <w:rsid w:val="007F1924"/>
    <w:rsid w:val="007F270C"/>
    <w:rsid w:val="007F407E"/>
    <w:rsid w:val="007F5E5E"/>
    <w:rsid w:val="007F6C03"/>
    <w:rsid w:val="007F7716"/>
    <w:rsid w:val="00801489"/>
    <w:rsid w:val="0080212C"/>
    <w:rsid w:val="00805327"/>
    <w:rsid w:val="00806496"/>
    <w:rsid w:val="00807025"/>
    <w:rsid w:val="00807297"/>
    <w:rsid w:val="008100A8"/>
    <w:rsid w:val="00810250"/>
    <w:rsid w:val="00810F26"/>
    <w:rsid w:val="008128DA"/>
    <w:rsid w:val="00813A5B"/>
    <w:rsid w:val="00815463"/>
    <w:rsid w:val="00816C55"/>
    <w:rsid w:val="00820BC1"/>
    <w:rsid w:val="00821026"/>
    <w:rsid w:val="00821547"/>
    <w:rsid w:val="008234A5"/>
    <w:rsid w:val="008237E7"/>
    <w:rsid w:val="00826177"/>
    <w:rsid w:val="008269B6"/>
    <w:rsid w:val="008273F4"/>
    <w:rsid w:val="00827857"/>
    <w:rsid w:val="00827A4E"/>
    <w:rsid w:val="00827F00"/>
    <w:rsid w:val="00830729"/>
    <w:rsid w:val="0083088A"/>
    <w:rsid w:val="00830C26"/>
    <w:rsid w:val="008316C3"/>
    <w:rsid w:val="0083174D"/>
    <w:rsid w:val="00831DA2"/>
    <w:rsid w:val="0083228E"/>
    <w:rsid w:val="00832782"/>
    <w:rsid w:val="00832C56"/>
    <w:rsid w:val="00832DAA"/>
    <w:rsid w:val="00834822"/>
    <w:rsid w:val="00834AB9"/>
    <w:rsid w:val="00835020"/>
    <w:rsid w:val="00835337"/>
    <w:rsid w:val="00837515"/>
    <w:rsid w:val="00840BE3"/>
    <w:rsid w:val="00840C6A"/>
    <w:rsid w:val="008412BB"/>
    <w:rsid w:val="00841E48"/>
    <w:rsid w:val="008431ED"/>
    <w:rsid w:val="00843333"/>
    <w:rsid w:val="00843C8E"/>
    <w:rsid w:val="00844187"/>
    <w:rsid w:val="008448B6"/>
    <w:rsid w:val="00844B31"/>
    <w:rsid w:val="00844FD5"/>
    <w:rsid w:val="008451C8"/>
    <w:rsid w:val="008451FA"/>
    <w:rsid w:val="00845C55"/>
    <w:rsid w:val="00846E07"/>
    <w:rsid w:val="00847C8D"/>
    <w:rsid w:val="00850994"/>
    <w:rsid w:val="0085246A"/>
    <w:rsid w:val="0085283C"/>
    <w:rsid w:val="0085302F"/>
    <w:rsid w:val="00854F5E"/>
    <w:rsid w:val="008554FE"/>
    <w:rsid w:val="008569DE"/>
    <w:rsid w:val="00856C19"/>
    <w:rsid w:val="008607E7"/>
    <w:rsid w:val="00863116"/>
    <w:rsid w:val="008632DC"/>
    <w:rsid w:val="008636C7"/>
    <w:rsid w:val="008651F4"/>
    <w:rsid w:val="0086736B"/>
    <w:rsid w:val="00867455"/>
    <w:rsid w:val="00867C0C"/>
    <w:rsid w:val="008701F8"/>
    <w:rsid w:val="00870DB6"/>
    <w:rsid w:val="0087320C"/>
    <w:rsid w:val="008747A2"/>
    <w:rsid w:val="00874EE9"/>
    <w:rsid w:val="00875587"/>
    <w:rsid w:val="00875B52"/>
    <w:rsid w:val="008807F8"/>
    <w:rsid w:val="008809F5"/>
    <w:rsid w:val="00881553"/>
    <w:rsid w:val="008835C9"/>
    <w:rsid w:val="0088409A"/>
    <w:rsid w:val="00884BC0"/>
    <w:rsid w:val="00885944"/>
    <w:rsid w:val="00886474"/>
    <w:rsid w:val="00886609"/>
    <w:rsid w:val="00886730"/>
    <w:rsid w:val="00886888"/>
    <w:rsid w:val="0088791D"/>
    <w:rsid w:val="00890930"/>
    <w:rsid w:val="008913B6"/>
    <w:rsid w:val="00891E1F"/>
    <w:rsid w:val="0089221D"/>
    <w:rsid w:val="00892626"/>
    <w:rsid w:val="0089307B"/>
    <w:rsid w:val="00894932"/>
    <w:rsid w:val="00894DA2"/>
    <w:rsid w:val="008957C2"/>
    <w:rsid w:val="00895B32"/>
    <w:rsid w:val="00896401"/>
    <w:rsid w:val="00896947"/>
    <w:rsid w:val="00896B44"/>
    <w:rsid w:val="0089796C"/>
    <w:rsid w:val="008A02DD"/>
    <w:rsid w:val="008A0FA0"/>
    <w:rsid w:val="008A0FE0"/>
    <w:rsid w:val="008A26DB"/>
    <w:rsid w:val="008A3EF9"/>
    <w:rsid w:val="008A5FA6"/>
    <w:rsid w:val="008A650D"/>
    <w:rsid w:val="008B0262"/>
    <w:rsid w:val="008B0C19"/>
    <w:rsid w:val="008B0DC9"/>
    <w:rsid w:val="008B15DE"/>
    <w:rsid w:val="008B1C9A"/>
    <w:rsid w:val="008B2E7E"/>
    <w:rsid w:val="008B4A53"/>
    <w:rsid w:val="008B677D"/>
    <w:rsid w:val="008B6C02"/>
    <w:rsid w:val="008B6F4B"/>
    <w:rsid w:val="008B78BF"/>
    <w:rsid w:val="008C0E2B"/>
    <w:rsid w:val="008C137F"/>
    <w:rsid w:val="008C3A26"/>
    <w:rsid w:val="008C3C58"/>
    <w:rsid w:val="008C4223"/>
    <w:rsid w:val="008C506D"/>
    <w:rsid w:val="008C537C"/>
    <w:rsid w:val="008D06A6"/>
    <w:rsid w:val="008D0BDC"/>
    <w:rsid w:val="008D135D"/>
    <w:rsid w:val="008D14B6"/>
    <w:rsid w:val="008D1525"/>
    <w:rsid w:val="008D31DF"/>
    <w:rsid w:val="008D4271"/>
    <w:rsid w:val="008D4E9C"/>
    <w:rsid w:val="008D585E"/>
    <w:rsid w:val="008D5CAA"/>
    <w:rsid w:val="008D6DC4"/>
    <w:rsid w:val="008D7830"/>
    <w:rsid w:val="008E02D2"/>
    <w:rsid w:val="008E2B28"/>
    <w:rsid w:val="008E3A3A"/>
    <w:rsid w:val="008E4030"/>
    <w:rsid w:val="008E4033"/>
    <w:rsid w:val="008E44C8"/>
    <w:rsid w:val="008E544F"/>
    <w:rsid w:val="008E5CD0"/>
    <w:rsid w:val="008E5D17"/>
    <w:rsid w:val="008E6304"/>
    <w:rsid w:val="008E6593"/>
    <w:rsid w:val="008E7BAE"/>
    <w:rsid w:val="008F0F1B"/>
    <w:rsid w:val="008F1A2C"/>
    <w:rsid w:val="008F2AE8"/>
    <w:rsid w:val="008F4D1F"/>
    <w:rsid w:val="008F68BF"/>
    <w:rsid w:val="00900295"/>
    <w:rsid w:val="0090136F"/>
    <w:rsid w:val="00901CF7"/>
    <w:rsid w:val="009021CD"/>
    <w:rsid w:val="0090315F"/>
    <w:rsid w:val="00906C7D"/>
    <w:rsid w:val="00907130"/>
    <w:rsid w:val="009115A0"/>
    <w:rsid w:val="00911AA0"/>
    <w:rsid w:val="00912216"/>
    <w:rsid w:val="00912CFF"/>
    <w:rsid w:val="00913316"/>
    <w:rsid w:val="00913DF8"/>
    <w:rsid w:val="00915226"/>
    <w:rsid w:val="009161AE"/>
    <w:rsid w:val="00917156"/>
    <w:rsid w:val="00917563"/>
    <w:rsid w:val="00920559"/>
    <w:rsid w:val="00921037"/>
    <w:rsid w:val="009222CE"/>
    <w:rsid w:val="009223A5"/>
    <w:rsid w:val="00922BEC"/>
    <w:rsid w:val="00922C6E"/>
    <w:rsid w:val="00923C50"/>
    <w:rsid w:val="00923CA4"/>
    <w:rsid w:val="0092490F"/>
    <w:rsid w:val="00925029"/>
    <w:rsid w:val="0092549F"/>
    <w:rsid w:val="00925741"/>
    <w:rsid w:val="00925D0A"/>
    <w:rsid w:val="009264B1"/>
    <w:rsid w:val="00926796"/>
    <w:rsid w:val="00926884"/>
    <w:rsid w:val="00931DB1"/>
    <w:rsid w:val="009328FA"/>
    <w:rsid w:val="00932A0E"/>
    <w:rsid w:val="00932B4D"/>
    <w:rsid w:val="00934BB9"/>
    <w:rsid w:val="00936615"/>
    <w:rsid w:val="00936626"/>
    <w:rsid w:val="00936DDC"/>
    <w:rsid w:val="00936FBE"/>
    <w:rsid w:val="00937CFC"/>
    <w:rsid w:val="00940161"/>
    <w:rsid w:val="00940E87"/>
    <w:rsid w:val="00940F71"/>
    <w:rsid w:val="009411C3"/>
    <w:rsid w:val="009413CF"/>
    <w:rsid w:val="00946637"/>
    <w:rsid w:val="0095020F"/>
    <w:rsid w:val="0095089E"/>
    <w:rsid w:val="00952572"/>
    <w:rsid w:val="00952CB3"/>
    <w:rsid w:val="00953DA4"/>
    <w:rsid w:val="00954683"/>
    <w:rsid w:val="00955132"/>
    <w:rsid w:val="00956FC3"/>
    <w:rsid w:val="00957B2B"/>
    <w:rsid w:val="0096453B"/>
    <w:rsid w:val="00964609"/>
    <w:rsid w:val="0096568A"/>
    <w:rsid w:val="00965E0B"/>
    <w:rsid w:val="00965ECA"/>
    <w:rsid w:val="00966C86"/>
    <w:rsid w:val="0096714F"/>
    <w:rsid w:val="0097094F"/>
    <w:rsid w:val="00971977"/>
    <w:rsid w:val="00971E28"/>
    <w:rsid w:val="00973070"/>
    <w:rsid w:val="0097315C"/>
    <w:rsid w:val="00974431"/>
    <w:rsid w:val="00976028"/>
    <w:rsid w:val="009762CD"/>
    <w:rsid w:val="00976769"/>
    <w:rsid w:val="009776F6"/>
    <w:rsid w:val="009777AA"/>
    <w:rsid w:val="009808A4"/>
    <w:rsid w:val="0098182C"/>
    <w:rsid w:val="0098207D"/>
    <w:rsid w:val="0098228A"/>
    <w:rsid w:val="00982606"/>
    <w:rsid w:val="00982A1F"/>
    <w:rsid w:val="00982AC2"/>
    <w:rsid w:val="00982F6D"/>
    <w:rsid w:val="00983E97"/>
    <w:rsid w:val="0098444D"/>
    <w:rsid w:val="00984D42"/>
    <w:rsid w:val="00985DFC"/>
    <w:rsid w:val="0098732A"/>
    <w:rsid w:val="009874A4"/>
    <w:rsid w:val="009877D0"/>
    <w:rsid w:val="009902A9"/>
    <w:rsid w:val="00990F70"/>
    <w:rsid w:val="00991401"/>
    <w:rsid w:val="00991E20"/>
    <w:rsid w:val="009928ED"/>
    <w:rsid w:val="009950F6"/>
    <w:rsid w:val="009958E5"/>
    <w:rsid w:val="00995DB1"/>
    <w:rsid w:val="00996099"/>
    <w:rsid w:val="00996E16"/>
    <w:rsid w:val="00997871"/>
    <w:rsid w:val="00997F2F"/>
    <w:rsid w:val="009A09FF"/>
    <w:rsid w:val="009A0F20"/>
    <w:rsid w:val="009A1930"/>
    <w:rsid w:val="009A2B5C"/>
    <w:rsid w:val="009A3837"/>
    <w:rsid w:val="009A3D5D"/>
    <w:rsid w:val="009A3FDB"/>
    <w:rsid w:val="009A4ED8"/>
    <w:rsid w:val="009A5BE0"/>
    <w:rsid w:val="009A683D"/>
    <w:rsid w:val="009A6A68"/>
    <w:rsid w:val="009A7BF0"/>
    <w:rsid w:val="009A7ECB"/>
    <w:rsid w:val="009B0110"/>
    <w:rsid w:val="009B0369"/>
    <w:rsid w:val="009B1061"/>
    <w:rsid w:val="009B16F1"/>
    <w:rsid w:val="009B1B5C"/>
    <w:rsid w:val="009B1D92"/>
    <w:rsid w:val="009B2532"/>
    <w:rsid w:val="009B2734"/>
    <w:rsid w:val="009B2CC1"/>
    <w:rsid w:val="009B3393"/>
    <w:rsid w:val="009B3795"/>
    <w:rsid w:val="009B3804"/>
    <w:rsid w:val="009B3897"/>
    <w:rsid w:val="009B39A3"/>
    <w:rsid w:val="009B496B"/>
    <w:rsid w:val="009B4AE4"/>
    <w:rsid w:val="009B65B5"/>
    <w:rsid w:val="009B6E8C"/>
    <w:rsid w:val="009B78C3"/>
    <w:rsid w:val="009B7B6C"/>
    <w:rsid w:val="009B7EE5"/>
    <w:rsid w:val="009C0192"/>
    <w:rsid w:val="009C128A"/>
    <w:rsid w:val="009C23EF"/>
    <w:rsid w:val="009C282F"/>
    <w:rsid w:val="009C42FE"/>
    <w:rsid w:val="009C4350"/>
    <w:rsid w:val="009C4A8F"/>
    <w:rsid w:val="009C5C5A"/>
    <w:rsid w:val="009C683B"/>
    <w:rsid w:val="009D0009"/>
    <w:rsid w:val="009D12A6"/>
    <w:rsid w:val="009D16F7"/>
    <w:rsid w:val="009D1F76"/>
    <w:rsid w:val="009D24BE"/>
    <w:rsid w:val="009D293B"/>
    <w:rsid w:val="009D2A4B"/>
    <w:rsid w:val="009D3160"/>
    <w:rsid w:val="009D32A3"/>
    <w:rsid w:val="009D4B8A"/>
    <w:rsid w:val="009D628B"/>
    <w:rsid w:val="009E0A8D"/>
    <w:rsid w:val="009E118A"/>
    <w:rsid w:val="009E1BE5"/>
    <w:rsid w:val="009E1E44"/>
    <w:rsid w:val="009E36CE"/>
    <w:rsid w:val="009E4156"/>
    <w:rsid w:val="009E44AE"/>
    <w:rsid w:val="009E4668"/>
    <w:rsid w:val="009E55DB"/>
    <w:rsid w:val="009E62A3"/>
    <w:rsid w:val="009E6412"/>
    <w:rsid w:val="009E7305"/>
    <w:rsid w:val="009E7B4D"/>
    <w:rsid w:val="009F10BA"/>
    <w:rsid w:val="009F2411"/>
    <w:rsid w:val="009F42AE"/>
    <w:rsid w:val="009F4E84"/>
    <w:rsid w:val="009F5531"/>
    <w:rsid w:val="009F611B"/>
    <w:rsid w:val="009F6B7C"/>
    <w:rsid w:val="009F6F66"/>
    <w:rsid w:val="009F77F1"/>
    <w:rsid w:val="009F7BC4"/>
    <w:rsid w:val="00A00888"/>
    <w:rsid w:val="00A026D1"/>
    <w:rsid w:val="00A02A26"/>
    <w:rsid w:val="00A04030"/>
    <w:rsid w:val="00A046A7"/>
    <w:rsid w:val="00A048AE"/>
    <w:rsid w:val="00A057D2"/>
    <w:rsid w:val="00A05B16"/>
    <w:rsid w:val="00A05D6E"/>
    <w:rsid w:val="00A06CE0"/>
    <w:rsid w:val="00A072B3"/>
    <w:rsid w:val="00A07606"/>
    <w:rsid w:val="00A07F2F"/>
    <w:rsid w:val="00A11249"/>
    <w:rsid w:val="00A118AA"/>
    <w:rsid w:val="00A11B2F"/>
    <w:rsid w:val="00A11F65"/>
    <w:rsid w:val="00A123D1"/>
    <w:rsid w:val="00A12AB0"/>
    <w:rsid w:val="00A136A7"/>
    <w:rsid w:val="00A139E1"/>
    <w:rsid w:val="00A14241"/>
    <w:rsid w:val="00A142E3"/>
    <w:rsid w:val="00A169EB"/>
    <w:rsid w:val="00A17356"/>
    <w:rsid w:val="00A17C84"/>
    <w:rsid w:val="00A20857"/>
    <w:rsid w:val="00A20912"/>
    <w:rsid w:val="00A2101F"/>
    <w:rsid w:val="00A2109B"/>
    <w:rsid w:val="00A2121A"/>
    <w:rsid w:val="00A21FE5"/>
    <w:rsid w:val="00A22213"/>
    <w:rsid w:val="00A22CAA"/>
    <w:rsid w:val="00A24168"/>
    <w:rsid w:val="00A2419B"/>
    <w:rsid w:val="00A24296"/>
    <w:rsid w:val="00A24734"/>
    <w:rsid w:val="00A266C8"/>
    <w:rsid w:val="00A27CF7"/>
    <w:rsid w:val="00A30AD3"/>
    <w:rsid w:val="00A31BE4"/>
    <w:rsid w:val="00A32785"/>
    <w:rsid w:val="00A32E28"/>
    <w:rsid w:val="00A3345B"/>
    <w:rsid w:val="00A33F4A"/>
    <w:rsid w:val="00A33FB5"/>
    <w:rsid w:val="00A34C0F"/>
    <w:rsid w:val="00A34D7C"/>
    <w:rsid w:val="00A34E39"/>
    <w:rsid w:val="00A3577A"/>
    <w:rsid w:val="00A35C41"/>
    <w:rsid w:val="00A35E01"/>
    <w:rsid w:val="00A35E6D"/>
    <w:rsid w:val="00A36A58"/>
    <w:rsid w:val="00A36B3B"/>
    <w:rsid w:val="00A37419"/>
    <w:rsid w:val="00A4054F"/>
    <w:rsid w:val="00A414C9"/>
    <w:rsid w:val="00A4235E"/>
    <w:rsid w:val="00A42CBF"/>
    <w:rsid w:val="00A4354F"/>
    <w:rsid w:val="00A44298"/>
    <w:rsid w:val="00A44B5F"/>
    <w:rsid w:val="00A452D4"/>
    <w:rsid w:val="00A46EF3"/>
    <w:rsid w:val="00A4769F"/>
    <w:rsid w:val="00A476DB"/>
    <w:rsid w:val="00A4773A"/>
    <w:rsid w:val="00A50A43"/>
    <w:rsid w:val="00A517D1"/>
    <w:rsid w:val="00A51C16"/>
    <w:rsid w:val="00A530C9"/>
    <w:rsid w:val="00A552AD"/>
    <w:rsid w:val="00A55DD6"/>
    <w:rsid w:val="00A5653B"/>
    <w:rsid w:val="00A6118D"/>
    <w:rsid w:val="00A61FAE"/>
    <w:rsid w:val="00A637CD"/>
    <w:rsid w:val="00A64E5F"/>
    <w:rsid w:val="00A65A84"/>
    <w:rsid w:val="00A6672C"/>
    <w:rsid w:val="00A672AF"/>
    <w:rsid w:val="00A70849"/>
    <w:rsid w:val="00A709F3"/>
    <w:rsid w:val="00A70D1E"/>
    <w:rsid w:val="00A71B69"/>
    <w:rsid w:val="00A71BF1"/>
    <w:rsid w:val="00A72C91"/>
    <w:rsid w:val="00A733F7"/>
    <w:rsid w:val="00A76BBB"/>
    <w:rsid w:val="00A773BF"/>
    <w:rsid w:val="00A80A02"/>
    <w:rsid w:val="00A80B14"/>
    <w:rsid w:val="00A810C6"/>
    <w:rsid w:val="00A812BE"/>
    <w:rsid w:val="00A81A32"/>
    <w:rsid w:val="00A83E14"/>
    <w:rsid w:val="00A84F43"/>
    <w:rsid w:val="00A8726E"/>
    <w:rsid w:val="00A907DD"/>
    <w:rsid w:val="00A90EA2"/>
    <w:rsid w:val="00A92264"/>
    <w:rsid w:val="00A947BE"/>
    <w:rsid w:val="00A94E80"/>
    <w:rsid w:val="00A96463"/>
    <w:rsid w:val="00A97137"/>
    <w:rsid w:val="00A97439"/>
    <w:rsid w:val="00A97F77"/>
    <w:rsid w:val="00AA04F9"/>
    <w:rsid w:val="00AA0CFA"/>
    <w:rsid w:val="00AA0EE4"/>
    <w:rsid w:val="00AA13C2"/>
    <w:rsid w:val="00AA1502"/>
    <w:rsid w:val="00AA1DDC"/>
    <w:rsid w:val="00AA2A64"/>
    <w:rsid w:val="00AA3364"/>
    <w:rsid w:val="00AA3C2E"/>
    <w:rsid w:val="00AA3FEC"/>
    <w:rsid w:val="00AA42B7"/>
    <w:rsid w:val="00AA4D86"/>
    <w:rsid w:val="00AA6C07"/>
    <w:rsid w:val="00AB02C0"/>
    <w:rsid w:val="00AB0979"/>
    <w:rsid w:val="00AB15F3"/>
    <w:rsid w:val="00AB2913"/>
    <w:rsid w:val="00AB3B80"/>
    <w:rsid w:val="00AB44B9"/>
    <w:rsid w:val="00AB48E0"/>
    <w:rsid w:val="00AB48FA"/>
    <w:rsid w:val="00AB4C7D"/>
    <w:rsid w:val="00AB4CD2"/>
    <w:rsid w:val="00AB5AB2"/>
    <w:rsid w:val="00AB5C6B"/>
    <w:rsid w:val="00AB6329"/>
    <w:rsid w:val="00AB690E"/>
    <w:rsid w:val="00AB72D6"/>
    <w:rsid w:val="00AB7FDC"/>
    <w:rsid w:val="00AC0779"/>
    <w:rsid w:val="00AC13D9"/>
    <w:rsid w:val="00AC16B9"/>
    <w:rsid w:val="00AC17AE"/>
    <w:rsid w:val="00AC1F91"/>
    <w:rsid w:val="00AC2A84"/>
    <w:rsid w:val="00AC3CA0"/>
    <w:rsid w:val="00AC42BF"/>
    <w:rsid w:val="00AC42F6"/>
    <w:rsid w:val="00AC5D71"/>
    <w:rsid w:val="00AC6C74"/>
    <w:rsid w:val="00AC757D"/>
    <w:rsid w:val="00AD008A"/>
    <w:rsid w:val="00AD1F8F"/>
    <w:rsid w:val="00AD215E"/>
    <w:rsid w:val="00AD21ED"/>
    <w:rsid w:val="00AD22EA"/>
    <w:rsid w:val="00AD257C"/>
    <w:rsid w:val="00AD2863"/>
    <w:rsid w:val="00AD307A"/>
    <w:rsid w:val="00AD3901"/>
    <w:rsid w:val="00AD44AE"/>
    <w:rsid w:val="00AD5C0E"/>
    <w:rsid w:val="00AD65DC"/>
    <w:rsid w:val="00AD6EEF"/>
    <w:rsid w:val="00AD7B78"/>
    <w:rsid w:val="00AE21D3"/>
    <w:rsid w:val="00AE232A"/>
    <w:rsid w:val="00AE2442"/>
    <w:rsid w:val="00AE3C9D"/>
    <w:rsid w:val="00AE3D32"/>
    <w:rsid w:val="00AE423D"/>
    <w:rsid w:val="00AE7F6D"/>
    <w:rsid w:val="00AF0509"/>
    <w:rsid w:val="00AF0CEA"/>
    <w:rsid w:val="00AF1968"/>
    <w:rsid w:val="00AF1A5C"/>
    <w:rsid w:val="00AF1D41"/>
    <w:rsid w:val="00AF30C7"/>
    <w:rsid w:val="00AF4A00"/>
    <w:rsid w:val="00AF5F09"/>
    <w:rsid w:val="00AF6EBF"/>
    <w:rsid w:val="00AF7011"/>
    <w:rsid w:val="00B00555"/>
    <w:rsid w:val="00B00C02"/>
    <w:rsid w:val="00B00D3C"/>
    <w:rsid w:val="00B00E8A"/>
    <w:rsid w:val="00B0177B"/>
    <w:rsid w:val="00B027D6"/>
    <w:rsid w:val="00B02BB2"/>
    <w:rsid w:val="00B02C0D"/>
    <w:rsid w:val="00B02C47"/>
    <w:rsid w:val="00B031B3"/>
    <w:rsid w:val="00B0406B"/>
    <w:rsid w:val="00B049F1"/>
    <w:rsid w:val="00B05049"/>
    <w:rsid w:val="00B05BB1"/>
    <w:rsid w:val="00B06A5C"/>
    <w:rsid w:val="00B07760"/>
    <w:rsid w:val="00B10C02"/>
    <w:rsid w:val="00B10CAD"/>
    <w:rsid w:val="00B11575"/>
    <w:rsid w:val="00B11B05"/>
    <w:rsid w:val="00B12110"/>
    <w:rsid w:val="00B140CF"/>
    <w:rsid w:val="00B15714"/>
    <w:rsid w:val="00B16DB1"/>
    <w:rsid w:val="00B17186"/>
    <w:rsid w:val="00B17327"/>
    <w:rsid w:val="00B17837"/>
    <w:rsid w:val="00B205AC"/>
    <w:rsid w:val="00B21E59"/>
    <w:rsid w:val="00B21F4F"/>
    <w:rsid w:val="00B24495"/>
    <w:rsid w:val="00B2507F"/>
    <w:rsid w:val="00B25F7F"/>
    <w:rsid w:val="00B26C8E"/>
    <w:rsid w:val="00B27C93"/>
    <w:rsid w:val="00B27DB7"/>
    <w:rsid w:val="00B27EC0"/>
    <w:rsid w:val="00B30FBF"/>
    <w:rsid w:val="00B32808"/>
    <w:rsid w:val="00B32C36"/>
    <w:rsid w:val="00B32D82"/>
    <w:rsid w:val="00B32F0D"/>
    <w:rsid w:val="00B330C9"/>
    <w:rsid w:val="00B3345D"/>
    <w:rsid w:val="00B33F03"/>
    <w:rsid w:val="00B352B3"/>
    <w:rsid w:val="00B35890"/>
    <w:rsid w:val="00B36450"/>
    <w:rsid w:val="00B36B5D"/>
    <w:rsid w:val="00B3789C"/>
    <w:rsid w:val="00B37C17"/>
    <w:rsid w:val="00B40080"/>
    <w:rsid w:val="00B405EB"/>
    <w:rsid w:val="00B409C9"/>
    <w:rsid w:val="00B414D2"/>
    <w:rsid w:val="00B44263"/>
    <w:rsid w:val="00B459E0"/>
    <w:rsid w:val="00B463CB"/>
    <w:rsid w:val="00B46E6C"/>
    <w:rsid w:val="00B51018"/>
    <w:rsid w:val="00B51E66"/>
    <w:rsid w:val="00B53E1D"/>
    <w:rsid w:val="00B54922"/>
    <w:rsid w:val="00B54CAC"/>
    <w:rsid w:val="00B5591D"/>
    <w:rsid w:val="00B56592"/>
    <w:rsid w:val="00B568C4"/>
    <w:rsid w:val="00B57F14"/>
    <w:rsid w:val="00B57FC8"/>
    <w:rsid w:val="00B607BF"/>
    <w:rsid w:val="00B60A5D"/>
    <w:rsid w:val="00B61321"/>
    <w:rsid w:val="00B636EC"/>
    <w:rsid w:val="00B64283"/>
    <w:rsid w:val="00B64A56"/>
    <w:rsid w:val="00B650CC"/>
    <w:rsid w:val="00B653D0"/>
    <w:rsid w:val="00B656BE"/>
    <w:rsid w:val="00B65A9C"/>
    <w:rsid w:val="00B66C21"/>
    <w:rsid w:val="00B67370"/>
    <w:rsid w:val="00B72B3C"/>
    <w:rsid w:val="00B72CF5"/>
    <w:rsid w:val="00B72F4A"/>
    <w:rsid w:val="00B73E7A"/>
    <w:rsid w:val="00B75135"/>
    <w:rsid w:val="00B758ED"/>
    <w:rsid w:val="00B75D03"/>
    <w:rsid w:val="00B76105"/>
    <w:rsid w:val="00B80033"/>
    <w:rsid w:val="00B800BA"/>
    <w:rsid w:val="00B80EFC"/>
    <w:rsid w:val="00B81C69"/>
    <w:rsid w:val="00B81DA5"/>
    <w:rsid w:val="00B81E0B"/>
    <w:rsid w:val="00B84451"/>
    <w:rsid w:val="00B856A6"/>
    <w:rsid w:val="00B862C4"/>
    <w:rsid w:val="00B8687C"/>
    <w:rsid w:val="00B878FF"/>
    <w:rsid w:val="00B900A1"/>
    <w:rsid w:val="00B901DC"/>
    <w:rsid w:val="00B929C0"/>
    <w:rsid w:val="00B93369"/>
    <w:rsid w:val="00B9399D"/>
    <w:rsid w:val="00B9599D"/>
    <w:rsid w:val="00B95EB1"/>
    <w:rsid w:val="00B9676C"/>
    <w:rsid w:val="00B9690F"/>
    <w:rsid w:val="00B969A2"/>
    <w:rsid w:val="00B971B7"/>
    <w:rsid w:val="00BA12DC"/>
    <w:rsid w:val="00BA1EED"/>
    <w:rsid w:val="00BA1F51"/>
    <w:rsid w:val="00BA1FFC"/>
    <w:rsid w:val="00BA3390"/>
    <w:rsid w:val="00BA4005"/>
    <w:rsid w:val="00BA42D7"/>
    <w:rsid w:val="00BA66ED"/>
    <w:rsid w:val="00BA741B"/>
    <w:rsid w:val="00BA7630"/>
    <w:rsid w:val="00BA7843"/>
    <w:rsid w:val="00BA7D38"/>
    <w:rsid w:val="00BB0277"/>
    <w:rsid w:val="00BB1917"/>
    <w:rsid w:val="00BB22C9"/>
    <w:rsid w:val="00BB269A"/>
    <w:rsid w:val="00BB4282"/>
    <w:rsid w:val="00BB45F4"/>
    <w:rsid w:val="00BB4BB4"/>
    <w:rsid w:val="00BB5B56"/>
    <w:rsid w:val="00BB6B39"/>
    <w:rsid w:val="00BB7D3E"/>
    <w:rsid w:val="00BC0BCE"/>
    <w:rsid w:val="00BC12B8"/>
    <w:rsid w:val="00BC1CB0"/>
    <w:rsid w:val="00BC28E1"/>
    <w:rsid w:val="00BC6656"/>
    <w:rsid w:val="00BC6EF5"/>
    <w:rsid w:val="00BD11D3"/>
    <w:rsid w:val="00BD2651"/>
    <w:rsid w:val="00BD2E90"/>
    <w:rsid w:val="00BD3614"/>
    <w:rsid w:val="00BD521E"/>
    <w:rsid w:val="00BD55B5"/>
    <w:rsid w:val="00BD6984"/>
    <w:rsid w:val="00BD7D67"/>
    <w:rsid w:val="00BE1622"/>
    <w:rsid w:val="00BE1DF4"/>
    <w:rsid w:val="00BE26E5"/>
    <w:rsid w:val="00BE2719"/>
    <w:rsid w:val="00BE36E6"/>
    <w:rsid w:val="00BE4208"/>
    <w:rsid w:val="00BE43C4"/>
    <w:rsid w:val="00BE45B8"/>
    <w:rsid w:val="00BE48B6"/>
    <w:rsid w:val="00BE4C6A"/>
    <w:rsid w:val="00BE53C7"/>
    <w:rsid w:val="00BE5C27"/>
    <w:rsid w:val="00BE5CEF"/>
    <w:rsid w:val="00BE7E75"/>
    <w:rsid w:val="00BF0CA0"/>
    <w:rsid w:val="00BF0E1D"/>
    <w:rsid w:val="00BF23C5"/>
    <w:rsid w:val="00BF2DCB"/>
    <w:rsid w:val="00BF33D8"/>
    <w:rsid w:val="00BF3E3C"/>
    <w:rsid w:val="00BF4B51"/>
    <w:rsid w:val="00BF5074"/>
    <w:rsid w:val="00BF6F47"/>
    <w:rsid w:val="00C0051F"/>
    <w:rsid w:val="00C025C2"/>
    <w:rsid w:val="00C03164"/>
    <w:rsid w:val="00C0344E"/>
    <w:rsid w:val="00C034A5"/>
    <w:rsid w:val="00C036AC"/>
    <w:rsid w:val="00C04C6F"/>
    <w:rsid w:val="00C05A7B"/>
    <w:rsid w:val="00C05D7C"/>
    <w:rsid w:val="00C06CE7"/>
    <w:rsid w:val="00C06D21"/>
    <w:rsid w:val="00C07902"/>
    <w:rsid w:val="00C07DCA"/>
    <w:rsid w:val="00C10CD5"/>
    <w:rsid w:val="00C115C5"/>
    <w:rsid w:val="00C1285E"/>
    <w:rsid w:val="00C1365F"/>
    <w:rsid w:val="00C13A53"/>
    <w:rsid w:val="00C1448E"/>
    <w:rsid w:val="00C1479B"/>
    <w:rsid w:val="00C14DC6"/>
    <w:rsid w:val="00C155EE"/>
    <w:rsid w:val="00C16C32"/>
    <w:rsid w:val="00C16F46"/>
    <w:rsid w:val="00C17618"/>
    <w:rsid w:val="00C2048E"/>
    <w:rsid w:val="00C2139E"/>
    <w:rsid w:val="00C21B4A"/>
    <w:rsid w:val="00C21FB7"/>
    <w:rsid w:val="00C221C4"/>
    <w:rsid w:val="00C226CC"/>
    <w:rsid w:val="00C22886"/>
    <w:rsid w:val="00C24960"/>
    <w:rsid w:val="00C251D1"/>
    <w:rsid w:val="00C25B9D"/>
    <w:rsid w:val="00C27110"/>
    <w:rsid w:val="00C27539"/>
    <w:rsid w:val="00C275CD"/>
    <w:rsid w:val="00C276E8"/>
    <w:rsid w:val="00C27B44"/>
    <w:rsid w:val="00C30C89"/>
    <w:rsid w:val="00C30E72"/>
    <w:rsid w:val="00C31530"/>
    <w:rsid w:val="00C31E3D"/>
    <w:rsid w:val="00C31FD4"/>
    <w:rsid w:val="00C331FA"/>
    <w:rsid w:val="00C3622E"/>
    <w:rsid w:val="00C37C24"/>
    <w:rsid w:val="00C37D65"/>
    <w:rsid w:val="00C40659"/>
    <w:rsid w:val="00C42657"/>
    <w:rsid w:val="00C43AED"/>
    <w:rsid w:val="00C44011"/>
    <w:rsid w:val="00C44FF9"/>
    <w:rsid w:val="00C450A7"/>
    <w:rsid w:val="00C46D0C"/>
    <w:rsid w:val="00C46F21"/>
    <w:rsid w:val="00C47624"/>
    <w:rsid w:val="00C47D84"/>
    <w:rsid w:val="00C47F8D"/>
    <w:rsid w:val="00C5136B"/>
    <w:rsid w:val="00C52705"/>
    <w:rsid w:val="00C52791"/>
    <w:rsid w:val="00C5375A"/>
    <w:rsid w:val="00C538F9"/>
    <w:rsid w:val="00C5394A"/>
    <w:rsid w:val="00C54668"/>
    <w:rsid w:val="00C546E4"/>
    <w:rsid w:val="00C55038"/>
    <w:rsid w:val="00C552EF"/>
    <w:rsid w:val="00C55A63"/>
    <w:rsid w:val="00C57000"/>
    <w:rsid w:val="00C572B1"/>
    <w:rsid w:val="00C601E9"/>
    <w:rsid w:val="00C615CA"/>
    <w:rsid w:val="00C61AAB"/>
    <w:rsid w:val="00C64022"/>
    <w:rsid w:val="00C64606"/>
    <w:rsid w:val="00C647E9"/>
    <w:rsid w:val="00C659E9"/>
    <w:rsid w:val="00C70D6F"/>
    <w:rsid w:val="00C713D3"/>
    <w:rsid w:val="00C71565"/>
    <w:rsid w:val="00C72AF8"/>
    <w:rsid w:val="00C74AA6"/>
    <w:rsid w:val="00C767D4"/>
    <w:rsid w:val="00C76F6F"/>
    <w:rsid w:val="00C803A0"/>
    <w:rsid w:val="00C80AC1"/>
    <w:rsid w:val="00C80B5D"/>
    <w:rsid w:val="00C81CEE"/>
    <w:rsid w:val="00C82AFE"/>
    <w:rsid w:val="00C83532"/>
    <w:rsid w:val="00C867A4"/>
    <w:rsid w:val="00C87388"/>
    <w:rsid w:val="00C879ED"/>
    <w:rsid w:val="00C900C0"/>
    <w:rsid w:val="00C91090"/>
    <w:rsid w:val="00C92CE2"/>
    <w:rsid w:val="00C92D41"/>
    <w:rsid w:val="00C92DE3"/>
    <w:rsid w:val="00C92FF1"/>
    <w:rsid w:val="00C9306B"/>
    <w:rsid w:val="00C93BE4"/>
    <w:rsid w:val="00C93D93"/>
    <w:rsid w:val="00C93E9B"/>
    <w:rsid w:val="00C93F6E"/>
    <w:rsid w:val="00C9458F"/>
    <w:rsid w:val="00C947CC"/>
    <w:rsid w:val="00C9498A"/>
    <w:rsid w:val="00C94D1B"/>
    <w:rsid w:val="00C94D60"/>
    <w:rsid w:val="00C954C4"/>
    <w:rsid w:val="00C97775"/>
    <w:rsid w:val="00C97EB2"/>
    <w:rsid w:val="00CA3297"/>
    <w:rsid w:val="00CA3D25"/>
    <w:rsid w:val="00CA3DD9"/>
    <w:rsid w:val="00CA4547"/>
    <w:rsid w:val="00CA5580"/>
    <w:rsid w:val="00CA56FC"/>
    <w:rsid w:val="00CA571E"/>
    <w:rsid w:val="00CB0F74"/>
    <w:rsid w:val="00CB13D1"/>
    <w:rsid w:val="00CB1ED1"/>
    <w:rsid w:val="00CB2C7B"/>
    <w:rsid w:val="00CB2E6C"/>
    <w:rsid w:val="00CB3367"/>
    <w:rsid w:val="00CB3BB1"/>
    <w:rsid w:val="00CB5133"/>
    <w:rsid w:val="00CB57DA"/>
    <w:rsid w:val="00CB5F37"/>
    <w:rsid w:val="00CB6267"/>
    <w:rsid w:val="00CB6539"/>
    <w:rsid w:val="00CC2476"/>
    <w:rsid w:val="00CC3459"/>
    <w:rsid w:val="00CC4037"/>
    <w:rsid w:val="00CC4A99"/>
    <w:rsid w:val="00CC5989"/>
    <w:rsid w:val="00CC626E"/>
    <w:rsid w:val="00CC7214"/>
    <w:rsid w:val="00CC733E"/>
    <w:rsid w:val="00CC7B48"/>
    <w:rsid w:val="00CC7DAD"/>
    <w:rsid w:val="00CC7E8E"/>
    <w:rsid w:val="00CD0366"/>
    <w:rsid w:val="00CD0401"/>
    <w:rsid w:val="00CD1514"/>
    <w:rsid w:val="00CD1667"/>
    <w:rsid w:val="00CD1858"/>
    <w:rsid w:val="00CD2F0C"/>
    <w:rsid w:val="00CD3343"/>
    <w:rsid w:val="00CD4172"/>
    <w:rsid w:val="00CD4DDA"/>
    <w:rsid w:val="00CD4EDB"/>
    <w:rsid w:val="00CD5A71"/>
    <w:rsid w:val="00CD75F4"/>
    <w:rsid w:val="00CE0E90"/>
    <w:rsid w:val="00CE14A3"/>
    <w:rsid w:val="00CE1E3E"/>
    <w:rsid w:val="00CE2D0D"/>
    <w:rsid w:val="00CE3620"/>
    <w:rsid w:val="00CE3D26"/>
    <w:rsid w:val="00CE455D"/>
    <w:rsid w:val="00CE4BDC"/>
    <w:rsid w:val="00CE6190"/>
    <w:rsid w:val="00CE6892"/>
    <w:rsid w:val="00CF00D4"/>
    <w:rsid w:val="00CF0685"/>
    <w:rsid w:val="00CF06F1"/>
    <w:rsid w:val="00CF0C52"/>
    <w:rsid w:val="00CF21BD"/>
    <w:rsid w:val="00CF2661"/>
    <w:rsid w:val="00CF3DF2"/>
    <w:rsid w:val="00CF3F65"/>
    <w:rsid w:val="00CF4C60"/>
    <w:rsid w:val="00CF5589"/>
    <w:rsid w:val="00CF5A58"/>
    <w:rsid w:val="00CF5BA1"/>
    <w:rsid w:val="00CF6494"/>
    <w:rsid w:val="00CF71F4"/>
    <w:rsid w:val="00CF7A52"/>
    <w:rsid w:val="00D00C20"/>
    <w:rsid w:val="00D00F8F"/>
    <w:rsid w:val="00D01B04"/>
    <w:rsid w:val="00D020FE"/>
    <w:rsid w:val="00D0294D"/>
    <w:rsid w:val="00D02C31"/>
    <w:rsid w:val="00D03AE8"/>
    <w:rsid w:val="00D03DB5"/>
    <w:rsid w:val="00D04C69"/>
    <w:rsid w:val="00D05DDB"/>
    <w:rsid w:val="00D05FB7"/>
    <w:rsid w:val="00D0600C"/>
    <w:rsid w:val="00D075DC"/>
    <w:rsid w:val="00D07990"/>
    <w:rsid w:val="00D07DA8"/>
    <w:rsid w:val="00D100A3"/>
    <w:rsid w:val="00D130B6"/>
    <w:rsid w:val="00D135EE"/>
    <w:rsid w:val="00D13711"/>
    <w:rsid w:val="00D163CC"/>
    <w:rsid w:val="00D169AF"/>
    <w:rsid w:val="00D17D1D"/>
    <w:rsid w:val="00D200CB"/>
    <w:rsid w:val="00D213E1"/>
    <w:rsid w:val="00D21F56"/>
    <w:rsid w:val="00D23909"/>
    <w:rsid w:val="00D2437E"/>
    <w:rsid w:val="00D24987"/>
    <w:rsid w:val="00D25376"/>
    <w:rsid w:val="00D260AA"/>
    <w:rsid w:val="00D264F4"/>
    <w:rsid w:val="00D27053"/>
    <w:rsid w:val="00D27D8D"/>
    <w:rsid w:val="00D306B7"/>
    <w:rsid w:val="00D3134F"/>
    <w:rsid w:val="00D327FD"/>
    <w:rsid w:val="00D32843"/>
    <w:rsid w:val="00D33A4C"/>
    <w:rsid w:val="00D34406"/>
    <w:rsid w:val="00D35690"/>
    <w:rsid w:val="00D35DF6"/>
    <w:rsid w:val="00D36E7A"/>
    <w:rsid w:val="00D3750E"/>
    <w:rsid w:val="00D41EB8"/>
    <w:rsid w:val="00D42B4C"/>
    <w:rsid w:val="00D43827"/>
    <w:rsid w:val="00D43B3E"/>
    <w:rsid w:val="00D477F5"/>
    <w:rsid w:val="00D50522"/>
    <w:rsid w:val="00D51535"/>
    <w:rsid w:val="00D51D4A"/>
    <w:rsid w:val="00D51EE9"/>
    <w:rsid w:val="00D52294"/>
    <w:rsid w:val="00D52D0E"/>
    <w:rsid w:val="00D539B9"/>
    <w:rsid w:val="00D53BFA"/>
    <w:rsid w:val="00D544CB"/>
    <w:rsid w:val="00D54E5E"/>
    <w:rsid w:val="00D55D5C"/>
    <w:rsid w:val="00D56289"/>
    <w:rsid w:val="00D5630B"/>
    <w:rsid w:val="00D5663A"/>
    <w:rsid w:val="00D56789"/>
    <w:rsid w:val="00D57E11"/>
    <w:rsid w:val="00D607A2"/>
    <w:rsid w:val="00D609D0"/>
    <w:rsid w:val="00D614F0"/>
    <w:rsid w:val="00D6195C"/>
    <w:rsid w:val="00D61A51"/>
    <w:rsid w:val="00D62037"/>
    <w:rsid w:val="00D639E9"/>
    <w:rsid w:val="00D640FF"/>
    <w:rsid w:val="00D64565"/>
    <w:rsid w:val="00D645F5"/>
    <w:rsid w:val="00D64685"/>
    <w:rsid w:val="00D64954"/>
    <w:rsid w:val="00D64B60"/>
    <w:rsid w:val="00D66E0B"/>
    <w:rsid w:val="00D70065"/>
    <w:rsid w:val="00D7114A"/>
    <w:rsid w:val="00D7294F"/>
    <w:rsid w:val="00D730AD"/>
    <w:rsid w:val="00D7326E"/>
    <w:rsid w:val="00D74792"/>
    <w:rsid w:val="00D74EDF"/>
    <w:rsid w:val="00D752A8"/>
    <w:rsid w:val="00D752CA"/>
    <w:rsid w:val="00D766CF"/>
    <w:rsid w:val="00D76E03"/>
    <w:rsid w:val="00D76FA2"/>
    <w:rsid w:val="00D80B57"/>
    <w:rsid w:val="00D83FD0"/>
    <w:rsid w:val="00D84270"/>
    <w:rsid w:val="00D8433F"/>
    <w:rsid w:val="00D845C9"/>
    <w:rsid w:val="00D84DEC"/>
    <w:rsid w:val="00D86472"/>
    <w:rsid w:val="00D87C32"/>
    <w:rsid w:val="00D90631"/>
    <w:rsid w:val="00D916A7"/>
    <w:rsid w:val="00D917B9"/>
    <w:rsid w:val="00D91D77"/>
    <w:rsid w:val="00D91EAC"/>
    <w:rsid w:val="00D924FA"/>
    <w:rsid w:val="00D92738"/>
    <w:rsid w:val="00D939C4"/>
    <w:rsid w:val="00D940D3"/>
    <w:rsid w:val="00D94573"/>
    <w:rsid w:val="00D9461B"/>
    <w:rsid w:val="00D9510A"/>
    <w:rsid w:val="00D952AE"/>
    <w:rsid w:val="00D954B3"/>
    <w:rsid w:val="00D9681F"/>
    <w:rsid w:val="00D96909"/>
    <w:rsid w:val="00D97342"/>
    <w:rsid w:val="00DA0553"/>
    <w:rsid w:val="00DA0896"/>
    <w:rsid w:val="00DA1076"/>
    <w:rsid w:val="00DA1151"/>
    <w:rsid w:val="00DA143D"/>
    <w:rsid w:val="00DA27F5"/>
    <w:rsid w:val="00DA3FB6"/>
    <w:rsid w:val="00DA426E"/>
    <w:rsid w:val="00DA4BCC"/>
    <w:rsid w:val="00DA59A7"/>
    <w:rsid w:val="00DA600D"/>
    <w:rsid w:val="00DA602A"/>
    <w:rsid w:val="00DA6324"/>
    <w:rsid w:val="00DA6DDD"/>
    <w:rsid w:val="00DA6DF9"/>
    <w:rsid w:val="00DA6F6C"/>
    <w:rsid w:val="00DA7690"/>
    <w:rsid w:val="00DA7798"/>
    <w:rsid w:val="00DB0C5B"/>
    <w:rsid w:val="00DB0CDF"/>
    <w:rsid w:val="00DB2218"/>
    <w:rsid w:val="00DB2E7D"/>
    <w:rsid w:val="00DB335B"/>
    <w:rsid w:val="00DB3601"/>
    <w:rsid w:val="00DB3AD5"/>
    <w:rsid w:val="00DB5613"/>
    <w:rsid w:val="00DB61EA"/>
    <w:rsid w:val="00DB6C15"/>
    <w:rsid w:val="00DB6F18"/>
    <w:rsid w:val="00DB7CD5"/>
    <w:rsid w:val="00DC015D"/>
    <w:rsid w:val="00DC0597"/>
    <w:rsid w:val="00DC14AF"/>
    <w:rsid w:val="00DC28AB"/>
    <w:rsid w:val="00DC3F72"/>
    <w:rsid w:val="00DC486B"/>
    <w:rsid w:val="00DC4B02"/>
    <w:rsid w:val="00DC4F6E"/>
    <w:rsid w:val="00DC5539"/>
    <w:rsid w:val="00DD10B2"/>
    <w:rsid w:val="00DD1639"/>
    <w:rsid w:val="00DD19FF"/>
    <w:rsid w:val="00DD1C59"/>
    <w:rsid w:val="00DD280D"/>
    <w:rsid w:val="00DD3F88"/>
    <w:rsid w:val="00DD44B4"/>
    <w:rsid w:val="00DD5CF8"/>
    <w:rsid w:val="00DD5E68"/>
    <w:rsid w:val="00DD6845"/>
    <w:rsid w:val="00DD6DD4"/>
    <w:rsid w:val="00DD7B86"/>
    <w:rsid w:val="00DE00FC"/>
    <w:rsid w:val="00DE1432"/>
    <w:rsid w:val="00DE278F"/>
    <w:rsid w:val="00DE2831"/>
    <w:rsid w:val="00DE29A6"/>
    <w:rsid w:val="00DE545A"/>
    <w:rsid w:val="00DE61F6"/>
    <w:rsid w:val="00DE68C4"/>
    <w:rsid w:val="00DE6A70"/>
    <w:rsid w:val="00DE723F"/>
    <w:rsid w:val="00DF09C5"/>
    <w:rsid w:val="00DF105A"/>
    <w:rsid w:val="00DF1942"/>
    <w:rsid w:val="00DF1C10"/>
    <w:rsid w:val="00DF320F"/>
    <w:rsid w:val="00DF4F38"/>
    <w:rsid w:val="00DF66A3"/>
    <w:rsid w:val="00DF7A06"/>
    <w:rsid w:val="00E000D9"/>
    <w:rsid w:val="00E006DF"/>
    <w:rsid w:val="00E0152E"/>
    <w:rsid w:val="00E03A3E"/>
    <w:rsid w:val="00E0533F"/>
    <w:rsid w:val="00E0561A"/>
    <w:rsid w:val="00E104A6"/>
    <w:rsid w:val="00E10B8F"/>
    <w:rsid w:val="00E1143F"/>
    <w:rsid w:val="00E127EA"/>
    <w:rsid w:val="00E128F0"/>
    <w:rsid w:val="00E12921"/>
    <w:rsid w:val="00E12BA2"/>
    <w:rsid w:val="00E12EE3"/>
    <w:rsid w:val="00E15427"/>
    <w:rsid w:val="00E15513"/>
    <w:rsid w:val="00E15D1C"/>
    <w:rsid w:val="00E16C43"/>
    <w:rsid w:val="00E1731F"/>
    <w:rsid w:val="00E17821"/>
    <w:rsid w:val="00E17EE1"/>
    <w:rsid w:val="00E205DE"/>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B"/>
    <w:rsid w:val="00E33AFF"/>
    <w:rsid w:val="00E33EC3"/>
    <w:rsid w:val="00E3410F"/>
    <w:rsid w:val="00E34458"/>
    <w:rsid w:val="00E34E19"/>
    <w:rsid w:val="00E35E7A"/>
    <w:rsid w:val="00E360DE"/>
    <w:rsid w:val="00E36192"/>
    <w:rsid w:val="00E36A09"/>
    <w:rsid w:val="00E37400"/>
    <w:rsid w:val="00E37879"/>
    <w:rsid w:val="00E40334"/>
    <w:rsid w:val="00E404C6"/>
    <w:rsid w:val="00E40E98"/>
    <w:rsid w:val="00E43623"/>
    <w:rsid w:val="00E43650"/>
    <w:rsid w:val="00E43AAA"/>
    <w:rsid w:val="00E43CDA"/>
    <w:rsid w:val="00E441A1"/>
    <w:rsid w:val="00E441B1"/>
    <w:rsid w:val="00E456EE"/>
    <w:rsid w:val="00E461F5"/>
    <w:rsid w:val="00E5021C"/>
    <w:rsid w:val="00E50F98"/>
    <w:rsid w:val="00E523D4"/>
    <w:rsid w:val="00E53195"/>
    <w:rsid w:val="00E5368B"/>
    <w:rsid w:val="00E53F9B"/>
    <w:rsid w:val="00E55095"/>
    <w:rsid w:val="00E55C5F"/>
    <w:rsid w:val="00E5661F"/>
    <w:rsid w:val="00E568E4"/>
    <w:rsid w:val="00E56BB1"/>
    <w:rsid w:val="00E62FCD"/>
    <w:rsid w:val="00E6339A"/>
    <w:rsid w:val="00E64573"/>
    <w:rsid w:val="00E64D20"/>
    <w:rsid w:val="00E64F72"/>
    <w:rsid w:val="00E6561F"/>
    <w:rsid w:val="00E65DFC"/>
    <w:rsid w:val="00E671B9"/>
    <w:rsid w:val="00E67BFA"/>
    <w:rsid w:val="00E7000D"/>
    <w:rsid w:val="00E70625"/>
    <w:rsid w:val="00E70973"/>
    <w:rsid w:val="00E713B7"/>
    <w:rsid w:val="00E7193C"/>
    <w:rsid w:val="00E73181"/>
    <w:rsid w:val="00E74674"/>
    <w:rsid w:val="00E75D38"/>
    <w:rsid w:val="00E75F0A"/>
    <w:rsid w:val="00E76804"/>
    <w:rsid w:val="00E76EA5"/>
    <w:rsid w:val="00E76F9D"/>
    <w:rsid w:val="00E778BC"/>
    <w:rsid w:val="00E779F7"/>
    <w:rsid w:val="00E80AA7"/>
    <w:rsid w:val="00E81F31"/>
    <w:rsid w:val="00E821D5"/>
    <w:rsid w:val="00E82892"/>
    <w:rsid w:val="00E8315D"/>
    <w:rsid w:val="00E8389D"/>
    <w:rsid w:val="00E83CB9"/>
    <w:rsid w:val="00E84647"/>
    <w:rsid w:val="00E84B6C"/>
    <w:rsid w:val="00E85584"/>
    <w:rsid w:val="00E8561C"/>
    <w:rsid w:val="00E85883"/>
    <w:rsid w:val="00E8617F"/>
    <w:rsid w:val="00E8647E"/>
    <w:rsid w:val="00E86FE6"/>
    <w:rsid w:val="00E871E1"/>
    <w:rsid w:val="00E879F4"/>
    <w:rsid w:val="00E90CB3"/>
    <w:rsid w:val="00E921F0"/>
    <w:rsid w:val="00E92D34"/>
    <w:rsid w:val="00E93547"/>
    <w:rsid w:val="00E937E5"/>
    <w:rsid w:val="00E93BF6"/>
    <w:rsid w:val="00E94223"/>
    <w:rsid w:val="00E95943"/>
    <w:rsid w:val="00E95E13"/>
    <w:rsid w:val="00EA0063"/>
    <w:rsid w:val="00EA11F0"/>
    <w:rsid w:val="00EA21F8"/>
    <w:rsid w:val="00EA2C01"/>
    <w:rsid w:val="00EA2CB2"/>
    <w:rsid w:val="00EA5140"/>
    <w:rsid w:val="00EA6009"/>
    <w:rsid w:val="00EA6C5C"/>
    <w:rsid w:val="00EA6E5B"/>
    <w:rsid w:val="00EA7781"/>
    <w:rsid w:val="00EA7ACF"/>
    <w:rsid w:val="00EA7F12"/>
    <w:rsid w:val="00EB0A8E"/>
    <w:rsid w:val="00EB4F78"/>
    <w:rsid w:val="00EB518E"/>
    <w:rsid w:val="00EB5D91"/>
    <w:rsid w:val="00EB6C07"/>
    <w:rsid w:val="00EB6D03"/>
    <w:rsid w:val="00EB6FF7"/>
    <w:rsid w:val="00EC166C"/>
    <w:rsid w:val="00EC1843"/>
    <w:rsid w:val="00EC2436"/>
    <w:rsid w:val="00EC29F3"/>
    <w:rsid w:val="00EC3CFF"/>
    <w:rsid w:val="00EC573C"/>
    <w:rsid w:val="00EC5FA4"/>
    <w:rsid w:val="00EC63F0"/>
    <w:rsid w:val="00EC65BB"/>
    <w:rsid w:val="00EC6DBA"/>
    <w:rsid w:val="00EC76B6"/>
    <w:rsid w:val="00EC7F7D"/>
    <w:rsid w:val="00ED0890"/>
    <w:rsid w:val="00ED11FC"/>
    <w:rsid w:val="00ED14C1"/>
    <w:rsid w:val="00ED16B3"/>
    <w:rsid w:val="00ED1F9C"/>
    <w:rsid w:val="00ED2639"/>
    <w:rsid w:val="00ED3415"/>
    <w:rsid w:val="00ED3551"/>
    <w:rsid w:val="00ED3CE8"/>
    <w:rsid w:val="00ED44F8"/>
    <w:rsid w:val="00ED4679"/>
    <w:rsid w:val="00EE0130"/>
    <w:rsid w:val="00EE1028"/>
    <w:rsid w:val="00EE11FB"/>
    <w:rsid w:val="00EE1F48"/>
    <w:rsid w:val="00EE5D13"/>
    <w:rsid w:val="00EE60E9"/>
    <w:rsid w:val="00EE6138"/>
    <w:rsid w:val="00EE7233"/>
    <w:rsid w:val="00EE7C9E"/>
    <w:rsid w:val="00EF0284"/>
    <w:rsid w:val="00EF171F"/>
    <w:rsid w:val="00EF18BE"/>
    <w:rsid w:val="00EF29E8"/>
    <w:rsid w:val="00EF2AC3"/>
    <w:rsid w:val="00EF2B54"/>
    <w:rsid w:val="00EF3B70"/>
    <w:rsid w:val="00EF411C"/>
    <w:rsid w:val="00EF5B8A"/>
    <w:rsid w:val="00EF6254"/>
    <w:rsid w:val="00EF625A"/>
    <w:rsid w:val="00EF6260"/>
    <w:rsid w:val="00EF6397"/>
    <w:rsid w:val="00EF67FD"/>
    <w:rsid w:val="00EF72EA"/>
    <w:rsid w:val="00EF7ED8"/>
    <w:rsid w:val="00F01C93"/>
    <w:rsid w:val="00F0201D"/>
    <w:rsid w:val="00F031A5"/>
    <w:rsid w:val="00F0334E"/>
    <w:rsid w:val="00F03A10"/>
    <w:rsid w:val="00F03C76"/>
    <w:rsid w:val="00F047C7"/>
    <w:rsid w:val="00F05753"/>
    <w:rsid w:val="00F05778"/>
    <w:rsid w:val="00F067CC"/>
    <w:rsid w:val="00F06A8E"/>
    <w:rsid w:val="00F10177"/>
    <w:rsid w:val="00F1022A"/>
    <w:rsid w:val="00F10B83"/>
    <w:rsid w:val="00F10DC4"/>
    <w:rsid w:val="00F11306"/>
    <w:rsid w:val="00F117B7"/>
    <w:rsid w:val="00F11A8D"/>
    <w:rsid w:val="00F123F4"/>
    <w:rsid w:val="00F1277C"/>
    <w:rsid w:val="00F13831"/>
    <w:rsid w:val="00F13E41"/>
    <w:rsid w:val="00F14CA7"/>
    <w:rsid w:val="00F17C6A"/>
    <w:rsid w:val="00F20969"/>
    <w:rsid w:val="00F20A93"/>
    <w:rsid w:val="00F20E1D"/>
    <w:rsid w:val="00F2286A"/>
    <w:rsid w:val="00F251D9"/>
    <w:rsid w:val="00F27BEF"/>
    <w:rsid w:val="00F27FE6"/>
    <w:rsid w:val="00F30250"/>
    <w:rsid w:val="00F3141B"/>
    <w:rsid w:val="00F31B91"/>
    <w:rsid w:val="00F31BE1"/>
    <w:rsid w:val="00F31C11"/>
    <w:rsid w:val="00F31C68"/>
    <w:rsid w:val="00F31D8F"/>
    <w:rsid w:val="00F32204"/>
    <w:rsid w:val="00F32BD4"/>
    <w:rsid w:val="00F3353D"/>
    <w:rsid w:val="00F34606"/>
    <w:rsid w:val="00F34919"/>
    <w:rsid w:val="00F34FA5"/>
    <w:rsid w:val="00F353DD"/>
    <w:rsid w:val="00F353E9"/>
    <w:rsid w:val="00F35650"/>
    <w:rsid w:val="00F36163"/>
    <w:rsid w:val="00F367FE"/>
    <w:rsid w:val="00F375C7"/>
    <w:rsid w:val="00F3764B"/>
    <w:rsid w:val="00F40117"/>
    <w:rsid w:val="00F40AC0"/>
    <w:rsid w:val="00F4317E"/>
    <w:rsid w:val="00F433B6"/>
    <w:rsid w:val="00F44EEE"/>
    <w:rsid w:val="00F50CA6"/>
    <w:rsid w:val="00F51BF8"/>
    <w:rsid w:val="00F52800"/>
    <w:rsid w:val="00F536F7"/>
    <w:rsid w:val="00F53D3A"/>
    <w:rsid w:val="00F541BF"/>
    <w:rsid w:val="00F5426F"/>
    <w:rsid w:val="00F543BC"/>
    <w:rsid w:val="00F54E7D"/>
    <w:rsid w:val="00F553A2"/>
    <w:rsid w:val="00F55435"/>
    <w:rsid w:val="00F56656"/>
    <w:rsid w:val="00F56A1D"/>
    <w:rsid w:val="00F56B64"/>
    <w:rsid w:val="00F602B1"/>
    <w:rsid w:val="00F60826"/>
    <w:rsid w:val="00F61F5E"/>
    <w:rsid w:val="00F620F4"/>
    <w:rsid w:val="00F62645"/>
    <w:rsid w:val="00F630C0"/>
    <w:rsid w:val="00F646B5"/>
    <w:rsid w:val="00F64909"/>
    <w:rsid w:val="00F64B48"/>
    <w:rsid w:val="00F64D86"/>
    <w:rsid w:val="00F6500A"/>
    <w:rsid w:val="00F66806"/>
    <w:rsid w:val="00F6770B"/>
    <w:rsid w:val="00F704FE"/>
    <w:rsid w:val="00F720F8"/>
    <w:rsid w:val="00F722E7"/>
    <w:rsid w:val="00F7311A"/>
    <w:rsid w:val="00F747F4"/>
    <w:rsid w:val="00F74839"/>
    <w:rsid w:val="00F757CC"/>
    <w:rsid w:val="00F7589D"/>
    <w:rsid w:val="00F7599E"/>
    <w:rsid w:val="00F76AAB"/>
    <w:rsid w:val="00F809B9"/>
    <w:rsid w:val="00F80B75"/>
    <w:rsid w:val="00F82B31"/>
    <w:rsid w:val="00F82B99"/>
    <w:rsid w:val="00F82BF3"/>
    <w:rsid w:val="00F83EC1"/>
    <w:rsid w:val="00F84FD2"/>
    <w:rsid w:val="00F851CB"/>
    <w:rsid w:val="00F863BE"/>
    <w:rsid w:val="00F864F5"/>
    <w:rsid w:val="00F8755B"/>
    <w:rsid w:val="00F878E6"/>
    <w:rsid w:val="00F90C61"/>
    <w:rsid w:val="00F91F46"/>
    <w:rsid w:val="00F925E6"/>
    <w:rsid w:val="00F928B8"/>
    <w:rsid w:val="00F92D67"/>
    <w:rsid w:val="00F9444E"/>
    <w:rsid w:val="00F94B9E"/>
    <w:rsid w:val="00F95836"/>
    <w:rsid w:val="00F969C1"/>
    <w:rsid w:val="00F9785D"/>
    <w:rsid w:val="00F979C0"/>
    <w:rsid w:val="00FA08A7"/>
    <w:rsid w:val="00FA1512"/>
    <w:rsid w:val="00FA39AE"/>
    <w:rsid w:val="00FA4FEB"/>
    <w:rsid w:val="00FA4FEC"/>
    <w:rsid w:val="00FA5B09"/>
    <w:rsid w:val="00FA7519"/>
    <w:rsid w:val="00FA7E64"/>
    <w:rsid w:val="00FB0E6E"/>
    <w:rsid w:val="00FB1548"/>
    <w:rsid w:val="00FB29CE"/>
    <w:rsid w:val="00FB322D"/>
    <w:rsid w:val="00FB3B2E"/>
    <w:rsid w:val="00FB4A7B"/>
    <w:rsid w:val="00FC058E"/>
    <w:rsid w:val="00FC0DC8"/>
    <w:rsid w:val="00FC183E"/>
    <w:rsid w:val="00FC4917"/>
    <w:rsid w:val="00FC4A02"/>
    <w:rsid w:val="00FC76B1"/>
    <w:rsid w:val="00FD070D"/>
    <w:rsid w:val="00FD0FF1"/>
    <w:rsid w:val="00FD2900"/>
    <w:rsid w:val="00FD32D7"/>
    <w:rsid w:val="00FD34AE"/>
    <w:rsid w:val="00FD3D04"/>
    <w:rsid w:val="00FD3E10"/>
    <w:rsid w:val="00FD43AF"/>
    <w:rsid w:val="00FD43F2"/>
    <w:rsid w:val="00FD66F5"/>
    <w:rsid w:val="00FD6E6E"/>
    <w:rsid w:val="00FD7714"/>
    <w:rsid w:val="00FE1806"/>
    <w:rsid w:val="00FE238B"/>
    <w:rsid w:val="00FE23D7"/>
    <w:rsid w:val="00FE2491"/>
    <w:rsid w:val="00FE2698"/>
    <w:rsid w:val="00FE350C"/>
    <w:rsid w:val="00FE3521"/>
    <w:rsid w:val="00FE3CF0"/>
    <w:rsid w:val="00FE46BA"/>
    <w:rsid w:val="00FE754A"/>
    <w:rsid w:val="00FE7CAC"/>
    <w:rsid w:val="00FF016C"/>
    <w:rsid w:val="00FF04BD"/>
    <w:rsid w:val="00FF056B"/>
    <w:rsid w:val="00FF08F8"/>
    <w:rsid w:val="00FF17F7"/>
    <w:rsid w:val="00FF1898"/>
    <w:rsid w:val="00FF1A73"/>
    <w:rsid w:val="00FF28BA"/>
    <w:rsid w:val="00FF340A"/>
    <w:rsid w:val="00FF4B71"/>
    <w:rsid w:val="00FF59BC"/>
    <w:rsid w:val="00FF5C7E"/>
    <w:rsid w:val="00FF671D"/>
    <w:rsid w:val="00FF6D01"/>
    <w:rsid w:val="00FF7347"/>
    <w:rsid w:val="00FF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link w:val="1"/>
    <w:uiPriority w:val="9"/>
    <w:rsid w:val="00EF6254"/>
    <w:rPr>
      <w:rFonts w:ascii="Arial" w:hAnsi="Arial" w:cs="Arial"/>
      <w:b/>
      <w:bCs/>
      <w:color w:val="26282F"/>
      <w:sz w:val="24"/>
      <w:szCs w:val="24"/>
    </w:rPr>
  </w:style>
  <w:style w:type="character" w:styleId="ab">
    <w:name w:val="Hyperlink"/>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character" w:customStyle="1" w:styleId="af0">
    <w:name w:val="Гипертекстовая ссылка"/>
    <w:uiPriority w:val="99"/>
    <w:rsid w:val="00015DCB"/>
    <w:rPr>
      <w:b/>
      <w:bCs/>
      <w:color w:val="106BBE"/>
    </w:rPr>
  </w:style>
  <w:style w:type="character" w:customStyle="1" w:styleId="apple-converted-space">
    <w:name w:val="apple-converted-space"/>
    <w:rsid w:val="006B6B95"/>
  </w:style>
</w:styles>
</file>

<file path=word/webSettings.xml><?xml version="1.0" encoding="utf-8"?>
<w:webSettings xmlns:r="http://schemas.openxmlformats.org/officeDocument/2006/relationships" xmlns:w="http://schemas.openxmlformats.org/wordprocessingml/2006/main">
  <w:divs>
    <w:div w:id="224295400">
      <w:bodyDiv w:val="1"/>
      <w:marLeft w:val="0"/>
      <w:marRight w:val="0"/>
      <w:marTop w:val="0"/>
      <w:marBottom w:val="0"/>
      <w:divBdr>
        <w:top w:val="none" w:sz="0" w:space="0" w:color="auto"/>
        <w:left w:val="none" w:sz="0" w:space="0" w:color="auto"/>
        <w:bottom w:val="none" w:sz="0" w:space="0" w:color="auto"/>
        <w:right w:val="none" w:sz="0" w:space="0" w:color="auto"/>
      </w:divBdr>
    </w:div>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47895544">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710446074">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E5D-9F63-4F33-83EA-DB7B16E3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22323</TotalTime>
  <Pages>15</Pages>
  <Words>7285</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48713</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757</cp:revision>
  <cp:lastPrinted>2016-06-20T03:14:00Z</cp:lastPrinted>
  <dcterms:created xsi:type="dcterms:W3CDTF">2014-12-18T08:12:00Z</dcterms:created>
  <dcterms:modified xsi:type="dcterms:W3CDTF">2016-09-05T03:07:00Z</dcterms:modified>
</cp:coreProperties>
</file>