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8E" w:rsidRDefault="00105C8E" w:rsidP="00105C8E">
      <w:pPr>
        <w:spacing w:after="0" w:line="240" w:lineRule="auto"/>
        <w:jc w:val="right"/>
      </w:pPr>
      <w:r>
        <w:t>УТВЕРЖДЕН</w:t>
      </w:r>
    </w:p>
    <w:p w:rsidR="00105C8E" w:rsidRDefault="00105C8E" w:rsidP="00105C8E">
      <w:pPr>
        <w:spacing w:after="0" w:line="240" w:lineRule="auto"/>
        <w:jc w:val="right"/>
      </w:pPr>
      <w:r>
        <w:t xml:space="preserve">Распоряжением председателя </w:t>
      </w:r>
    </w:p>
    <w:p w:rsidR="00105C8E" w:rsidRDefault="00105C8E" w:rsidP="00105C8E">
      <w:pPr>
        <w:spacing w:after="0" w:line="240" w:lineRule="auto"/>
        <w:jc w:val="right"/>
      </w:pPr>
      <w:r>
        <w:t xml:space="preserve">Контрольно-счетной палаты </w:t>
      </w:r>
    </w:p>
    <w:p w:rsidR="00105C8E" w:rsidRDefault="00105C8E" w:rsidP="00105C8E">
      <w:pPr>
        <w:spacing w:after="0" w:line="240" w:lineRule="auto"/>
        <w:jc w:val="right"/>
      </w:pPr>
      <w:r>
        <w:t xml:space="preserve">МО </w:t>
      </w:r>
      <w:proofErr w:type="spellStart"/>
      <w:r>
        <w:t>Куйтунский</w:t>
      </w:r>
      <w:proofErr w:type="spellEnd"/>
      <w:r>
        <w:t xml:space="preserve"> район</w:t>
      </w:r>
    </w:p>
    <w:p w:rsidR="00105C8E" w:rsidRDefault="00105C8E" w:rsidP="00105C8E">
      <w:pPr>
        <w:spacing w:after="0" w:line="240" w:lineRule="auto"/>
        <w:jc w:val="right"/>
      </w:pPr>
      <w:proofErr w:type="gramStart"/>
      <w:r>
        <w:t>от</w:t>
      </w:r>
      <w:proofErr w:type="gramEnd"/>
      <w:r>
        <w:t xml:space="preserve"> «13» октября 2021 года № 56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105C8E" w:rsidRDefault="00105C8E" w:rsidP="00105C8E"/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СТАНДАРТ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 xml:space="preserve">КОНТРОЛЬНО-СЧЕТНОЙ ПАЛАТЫ </w:t>
      </w:r>
      <w:r>
        <w:rPr>
          <w:b/>
          <w:sz w:val="24"/>
          <w:szCs w:val="24"/>
        </w:rPr>
        <w:t>МО КУЙТУНСКИЙ РАЙОН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СВФК-</w:t>
      </w:r>
      <w:r w:rsidR="00ED3682">
        <w:rPr>
          <w:b/>
          <w:sz w:val="24"/>
          <w:szCs w:val="24"/>
        </w:rPr>
        <w:t>1</w:t>
      </w:r>
      <w:r w:rsidR="00581281">
        <w:rPr>
          <w:b/>
          <w:sz w:val="24"/>
          <w:szCs w:val="24"/>
        </w:rPr>
        <w:t>5</w:t>
      </w: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5F7128" w:rsidRDefault="005F7128" w:rsidP="00105C8E">
      <w:pPr>
        <w:jc w:val="center"/>
        <w:rPr>
          <w:b/>
          <w:sz w:val="24"/>
          <w:szCs w:val="24"/>
        </w:rPr>
      </w:pPr>
    </w:p>
    <w:p w:rsidR="000365F2" w:rsidRDefault="005F7128" w:rsidP="005F7128">
      <w:pPr>
        <w:jc w:val="center"/>
        <w:rPr>
          <w:b/>
          <w:sz w:val="24"/>
          <w:szCs w:val="24"/>
        </w:rPr>
      </w:pPr>
      <w:r w:rsidRPr="000365F2">
        <w:rPr>
          <w:b/>
          <w:sz w:val="24"/>
          <w:szCs w:val="24"/>
        </w:rPr>
        <w:t>«</w:t>
      </w:r>
      <w:r w:rsidR="000365F2" w:rsidRPr="000365F2">
        <w:rPr>
          <w:b/>
          <w:sz w:val="24"/>
          <w:szCs w:val="24"/>
        </w:rPr>
        <w:t>ОЦЕНКА ЭФФЕКТИВНОСТИ</w:t>
      </w:r>
      <w:r w:rsidR="000365F2">
        <w:rPr>
          <w:b/>
          <w:sz w:val="24"/>
          <w:szCs w:val="24"/>
        </w:rPr>
        <w:t xml:space="preserve"> ПРЕДОСТАВЛЕНИЯ </w:t>
      </w:r>
    </w:p>
    <w:p w:rsidR="00105C8E" w:rsidRDefault="000365F2" w:rsidP="005F7128">
      <w:pPr>
        <w:jc w:val="center"/>
      </w:pPr>
      <w:r>
        <w:rPr>
          <w:b/>
          <w:sz w:val="24"/>
          <w:szCs w:val="24"/>
        </w:rPr>
        <w:t>НАЛОГОВЫХ ЛЬГОТ И ПРЕИМУЩЕСТВ</w:t>
      </w:r>
      <w:r w:rsidR="005F7128" w:rsidRPr="005F7128">
        <w:rPr>
          <w:b/>
          <w:sz w:val="24"/>
          <w:szCs w:val="24"/>
        </w:rPr>
        <w:t>»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500DB8" w:rsidRDefault="00500DB8" w:rsidP="00105C8E"/>
    <w:p w:rsidR="00105C8E" w:rsidRDefault="00105C8E" w:rsidP="00105C8E"/>
    <w:p w:rsidR="002B0D8E" w:rsidRDefault="002034A8" w:rsidP="00105C8E">
      <w:pPr>
        <w:jc w:val="center"/>
      </w:pPr>
      <w:proofErr w:type="spellStart"/>
      <w:r>
        <w:t>р.п</w:t>
      </w:r>
      <w:proofErr w:type="spellEnd"/>
      <w:r>
        <w:t>. Куйтун</w:t>
      </w:r>
    </w:p>
    <w:p w:rsidR="002034A8" w:rsidRDefault="002034A8" w:rsidP="00105C8E">
      <w:pPr>
        <w:jc w:val="center"/>
      </w:pPr>
    </w:p>
    <w:p w:rsidR="00105C8E" w:rsidRDefault="00105C8E" w:rsidP="00105C8E">
      <w:pPr>
        <w:jc w:val="center"/>
      </w:pPr>
      <w:r>
        <w:lastRenderedPageBreak/>
        <w:t>СОДЕРЖАНИЕ</w:t>
      </w:r>
    </w:p>
    <w:p w:rsidR="00105C8E" w:rsidRDefault="00105C8E" w:rsidP="000365F2">
      <w:pPr>
        <w:tabs>
          <w:tab w:val="left" w:pos="9072"/>
        </w:tabs>
        <w:jc w:val="center"/>
      </w:pPr>
    </w:p>
    <w:p w:rsidR="00105C8E" w:rsidRPr="000365F2" w:rsidRDefault="00105C8E" w:rsidP="00EF0482">
      <w:pPr>
        <w:tabs>
          <w:tab w:val="left" w:pos="9072"/>
        </w:tabs>
        <w:spacing w:after="0" w:line="240" w:lineRule="auto"/>
      </w:pPr>
      <w:r w:rsidRPr="000365F2">
        <w:t xml:space="preserve">1. </w:t>
      </w:r>
      <w:r w:rsidR="003C79F7" w:rsidRPr="000365F2">
        <w:t>Общие положения</w:t>
      </w:r>
      <w:r w:rsidRPr="000365F2">
        <w:t>..........................................................................................................................</w:t>
      </w:r>
      <w:r w:rsidR="008127C3">
        <w:t>..</w:t>
      </w:r>
      <w:r w:rsidR="00EF0482" w:rsidRPr="000365F2">
        <w:t>.</w:t>
      </w:r>
      <w:r w:rsidR="000E4242" w:rsidRPr="000365F2">
        <w:t>.</w:t>
      </w:r>
      <w:r w:rsidRPr="000365F2">
        <w:t xml:space="preserve">3 </w:t>
      </w:r>
    </w:p>
    <w:p w:rsidR="00105C8E" w:rsidRPr="000365F2" w:rsidRDefault="000365F2" w:rsidP="008127C3">
      <w:pPr>
        <w:tabs>
          <w:tab w:val="left" w:pos="9072"/>
        </w:tabs>
        <w:spacing w:after="0" w:line="240" w:lineRule="auto"/>
        <w:ind w:right="283"/>
        <w:jc w:val="both"/>
      </w:pPr>
      <w:r w:rsidRPr="000365F2">
        <w:t>2.</w:t>
      </w:r>
      <w:r w:rsidRPr="000365F2">
        <w:t xml:space="preserve"> Требования к проведению оценки эффективности предоставления налоговых и</w:t>
      </w:r>
      <w:r w:rsidRPr="000365F2">
        <w:t xml:space="preserve"> </w:t>
      </w:r>
      <w:proofErr w:type="gramStart"/>
      <w:r w:rsidRPr="000365F2">
        <w:t>иных льгот</w:t>
      </w:r>
      <w:proofErr w:type="gramEnd"/>
      <w:r w:rsidRPr="000365F2">
        <w:t xml:space="preserve"> и преимуществ</w:t>
      </w:r>
      <w:r w:rsidRPr="000365F2">
        <w:t>……………………………………………………………………………………………………………………………………</w:t>
      </w:r>
      <w:r>
        <w:t xml:space="preserve">. </w:t>
      </w:r>
      <w:r w:rsidR="00C126CC" w:rsidRPr="000365F2">
        <w:t>3</w:t>
      </w:r>
      <w:r w:rsidR="00105C8E" w:rsidRPr="000365F2">
        <w:t xml:space="preserve"> </w:t>
      </w:r>
    </w:p>
    <w:p w:rsidR="00105C8E" w:rsidRPr="008127C3" w:rsidRDefault="00CE31F2" w:rsidP="008127C3">
      <w:pPr>
        <w:spacing w:after="0" w:line="240" w:lineRule="auto"/>
        <w:ind w:right="283"/>
        <w:jc w:val="both"/>
      </w:pPr>
      <w:r w:rsidRPr="008127C3">
        <w:t xml:space="preserve">3. </w:t>
      </w:r>
      <w:r w:rsidR="008127C3" w:rsidRPr="008127C3">
        <w:t xml:space="preserve">Порядок оформления результатов </w:t>
      </w:r>
      <w:r w:rsidR="008127C3" w:rsidRPr="008127C3">
        <w:t xml:space="preserve">проведения оценки эффективности </w:t>
      </w:r>
      <w:r w:rsidR="008127C3" w:rsidRPr="008127C3">
        <w:t>предоставления налоговых и иных льгот и преимуществ</w:t>
      </w:r>
      <w:r w:rsidR="008127C3" w:rsidRPr="008127C3">
        <w:t xml:space="preserve"> …………………………………………………………………………………</w:t>
      </w:r>
      <w:proofErr w:type="gramStart"/>
      <w:r w:rsidR="008127C3" w:rsidRPr="008127C3">
        <w:t>…….</w:t>
      </w:r>
      <w:proofErr w:type="gramEnd"/>
      <w:r w:rsidR="008127C3" w:rsidRPr="008127C3">
        <w:t>…</w:t>
      </w:r>
      <w:r w:rsidRPr="008127C3">
        <w:t>3</w:t>
      </w:r>
      <w:r w:rsidR="00105C8E" w:rsidRPr="008127C3">
        <w:t xml:space="preserve"> </w:t>
      </w: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2034A8" w:rsidRPr="00D71FB8" w:rsidRDefault="002034A8" w:rsidP="00105C8E">
      <w:pPr>
        <w:spacing w:after="0" w:line="240" w:lineRule="auto"/>
        <w:rPr>
          <w:highlight w:val="yellow"/>
        </w:rPr>
      </w:pPr>
    </w:p>
    <w:p w:rsidR="00B13330" w:rsidRPr="00D71FB8" w:rsidRDefault="00B13330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9A0CE3" w:rsidRPr="00D71FB8" w:rsidRDefault="009A0CE3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500DB8" w:rsidRPr="00D71FB8" w:rsidRDefault="00500DB8" w:rsidP="00105C8E">
      <w:pPr>
        <w:spacing w:after="0" w:line="240" w:lineRule="auto"/>
        <w:rPr>
          <w:highlight w:val="yellow"/>
        </w:rPr>
      </w:pPr>
    </w:p>
    <w:p w:rsidR="002034A8" w:rsidRPr="005F7128" w:rsidRDefault="002034A8" w:rsidP="00ED3682">
      <w:pPr>
        <w:spacing w:after="0" w:line="240" w:lineRule="auto"/>
        <w:ind w:firstLine="567"/>
        <w:jc w:val="center"/>
        <w:rPr>
          <w:b/>
        </w:rPr>
      </w:pPr>
      <w:r w:rsidRPr="005F7128">
        <w:rPr>
          <w:b/>
        </w:rPr>
        <w:lastRenderedPageBreak/>
        <w:t>1. Общие положения</w:t>
      </w:r>
    </w:p>
    <w:p w:rsidR="002034A8" w:rsidRPr="005F7128" w:rsidRDefault="002034A8" w:rsidP="00500DB8">
      <w:pPr>
        <w:spacing w:after="0" w:line="240" w:lineRule="auto"/>
        <w:ind w:firstLine="567"/>
        <w:jc w:val="both"/>
      </w:pPr>
      <w:r w:rsidRPr="005F7128">
        <w:t xml:space="preserve">1.1.  Стандарт  внешнего  </w:t>
      </w:r>
      <w:r w:rsidR="00B13330" w:rsidRPr="005F7128">
        <w:t>му</w:t>
      </w:r>
      <w:r w:rsidRPr="005F7128">
        <w:t>н</w:t>
      </w:r>
      <w:r w:rsidR="00CA7F5B" w:rsidRPr="005F7128">
        <w:t>иципальн</w:t>
      </w:r>
      <w:r w:rsidRPr="005F7128">
        <w:t xml:space="preserve">ого  финансового  контроля,  осуществляемого Контрольно-счетной  палатой  </w:t>
      </w:r>
      <w:r w:rsidR="00CA7F5B" w:rsidRPr="005F7128">
        <w:t xml:space="preserve">МО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</w:t>
      </w:r>
      <w:r w:rsidRPr="005F7128">
        <w:t>,  СВФК-</w:t>
      </w:r>
      <w:r w:rsidR="00ED3682" w:rsidRPr="005F7128">
        <w:t>1</w:t>
      </w:r>
      <w:r w:rsidR="00581281">
        <w:t>5</w:t>
      </w:r>
      <w:r w:rsidR="00500DB8" w:rsidRPr="005F7128">
        <w:t xml:space="preserve">  </w:t>
      </w:r>
      <w:r w:rsidR="005F7128" w:rsidRPr="005F7128">
        <w:t>«</w:t>
      </w:r>
      <w:r w:rsidR="00581281">
        <w:t>Оценка эффективности предоставления налоговых льгот и преимуществ»</w:t>
      </w:r>
      <w:r w:rsidRPr="005F7128">
        <w:t xml:space="preserve">  (далее  –  СВФК-</w:t>
      </w:r>
      <w:r w:rsidR="00ED3682" w:rsidRPr="005F7128">
        <w:t>1</w:t>
      </w:r>
      <w:r w:rsidR="00581281">
        <w:t>5</w:t>
      </w:r>
      <w:r w:rsidRPr="005F7128">
        <w:t>, стандарт) разработан в соответствии  со  статьей  11  Федерального  закона  от  07.02.2011  №  6-ФЗ  «Об  общих принципах организации и деятельности контрольно-счетных органов субъектов Российской Федерации  и  контрольно-счетных  органов  муниципальных  образований»  (далее  –</w:t>
      </w:r>
      <w:r w:rsidR="00CA7F5B" w:rsidRPr="005F7128">
        <w:t xml:space="preserve"> </w:t>
      </w:r>
      <w:r w:rsidRPr="005F7128">
        <w:t>Федеральный закон №</w:t>
      </w:r>
      <w:r w:rsidR="00CA7F5B" w:rsidRPr="005F7128">
        <w:t xml:space="preserve"> </w:t>
      </w:r>
      <w:r w:rsidRPr="005F7128">
        <w:t xml:space="preserve">6-ФЗ), </w:t>
      </w:r>
      <w:r w:rsidR="00CA7F5B" w:rsidRPr="005F7128">
        <w:t xml:space="preserve">а также Положением о </w:t>
      </w:r>
      <w:proofErr w:type="spellStart"/>
      <w:r w:rsidR="00CA7F5B" w:rsidRPr="005F7128">
        <w:t>Контрольно</w:t>
      </w:r>
      <w:proofErr w:type="spellEnd"/>
      <w:r w:rsidR="00CA7F5B" w:rsidRPr="005F7128">
        <w:t xml:space="preserve"> – счетной палате муниципального образования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район, утвержденного решением Думы муниципального образования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 от 26.04.2012 № 200 (далее – Положение о КСП) </w:t>
      </w:r>
      <w:r w:rsidRPr="005F7128">
        <w:t xml:space="preserve">и предназначен для методологического обеспечения реализации Контрольно-счетной палатой </w:t>
      </w:r>
      <w:r w:rsidR="00CA7F5B" w:rsidRPr="005F7128">
        <w:t xml:space="preserve">МО </w:t>
      </w:r>
      <w:proofErr w:type="spellStart"/>
      <w:r w:rsidR="00CA7F5B" w:rsidRPr="005F7128">
        <w:t>Куйтунский</w:t>
      </w:r>
      <w:proofErr w:type="spellEnd"/>
      <w:r w:rsidR="00CA7F5B" w:rsidRPr="005F7128">
        <w:t xml:space="preserve"> район</w:t>
      </w:r>
      <w:r w:rsidRPr="005F7128">
        <w:t xml:space="preserve">  (далее  –  Контрольно-счетная  палата,  КСП  </w:t>
      </w:r>
      <w:r w:rsidR="00CA7F5B" w:rsidRPr="005F7128">
        <w:t>района</w:t>
      </w:r>
      <w:r w:rsidRPr="005F7128">
        <w:t xml:space="preserve">,  палата)  положений вышеуказанных законов и Регламента КСП </w:t>
      </w:r>
      <w:r w:rsidR="00CA7F5B" w:rsidRPr="005F7128">
        <w:t>района</w:t>
      </w:r>
      <w:r w:rsidRPr="005F7128">
        <w:t xml:space="preserve">. </w:t>
      </w:r>
    </w:p>
    <w:p w:rsidR="005F7128" w:rsidRDefault="005F7128" w:rsidP="00500DB8">
      <w:pPr>
        <w:spacing w:after="0" w:line="240" w:lineRule="auto"/>
        <w:ind w:firstLine="567"/>
        <w:jc w:val="both"/>
        <w:rPr>
          <w:highlight w:val="yellow"/>
        </w:rPr>
      </w:pPr>
      <w:r>
        <w:t>При разработке Стандарта учтены положения Стандарта Счетной палаты Российской Федерации «Общие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образований», (утверждены Коллегией Счетной палаты РФ (протокол от 17 октября 2014 года № 47К (993).</w:t>
      </w:r>
    </w:p>
    <w:p w:rsidR="00EB50BD" w:rsidRDefault="00ED3682" w:rsidP="00B7711A">
      <w:pPr>
        <w:spacing w:after="0" w:line="240" w:lineRule="auto"/>
        <w:ind w:firstLine="567"/>
        <w:jc w:val="both"/>
      </w:pPr>
      <w:r w:rsidRPr="005F7128">
        <w:t xml:space="preserve">1.2. </w:t>
      </w:r>
      <w:r w:rsidR="00B7711A">
        <w:t xml:space="preserve">Стандарт устанавливает общие требования, правила и процедуры проведения Контрольно-счетной палатой оценки эффективности предоставления налоговых и </w:t>
      </w:r>
      <w:proofErr w:type="gramStart"/>
      <w:r w:rsidR="00B7711A">
        <w:t>иных льгот</w:t>
      </w:r>
      <w:proofErr w:type="gramEnd"/>
      <w:r w:rsidR="00B7711A">
        <w:t xml:space="preserve"> и преимуществ</w:t>
      </w:r>
      <w:r w:rsidR="00B7711A">
        <w:t>.</w:t>
      </w:r>
    </w:p>
    <w:p w:rsidR="000365F2" w:rsidRDefault="000365F2" w:rsidP="00B7711A">
      <w:pPr>
        <w:spacing w:after="0" w:line="240" w:lineRule="auto"/>
        <w:ind w:firstLine="567"/>
        <w:jc w:val="both"/>
      </w:pPr>
      <w:r>
        <w:t xml:space="preserve">1.3. Задачами Стандарта являются: </w:t>
      </w:r>
    </w:p>
    <w:p w:rsidR="000365F2" w:rsidRDefault="000365F2" w:rsidP="00B7711A">
      <w:pPr>
        <w:spacing w:after="0" w:line="240" w:lineRule="auto"/>
        <w:ind w:firstLine="567"/>
        <w:jc w:val="both"/>
      </w:pPr>
      <w:r>
        <w:t xml:space="preserve">- определение содержания, принципов и процедур проведения экспертно-аналитического мероприятия; </w:t>
      </w:r>
    </w:p>
    <w:p w:rsidR="000365F2" w:rsidRDefault="000365F2" w:rsidP="00B7711A">
      <w:pPr>
        <w:spacing w:after="0" w:line="240" w:lineRule="auto"/>
        <w:ind w:firstLine="567"/>
        <w:jc w:val="both"/>
      </w:pPr>
      <w:r>
        <w:t xml:space="preserve">- установление общих требований к организации, подготовке к проведению, проведению и оформлению результатов экспертно-аналитического мероприятия. </w:t>
      </w:r>
    </w:p>
    <w:p w:rsidR="00B7711A" w:rsidRDefault="000365F2" w:rsidP="00B7711A">
      <w:pPr>
        <w:spacing w:after="0" w:line="240" w:lineRule="auto"/>
        <w:ind w:firstLine="567"/>
        <w:jc w:val="both"/>
      </w:pPr>
      <w:r>
        <w:t xml:space="preserve">Основным методом осуществления оценки эффективности предоставления налоговых и </w:t>
      </w:r>
      <w:proofErr w:type="gramStart"/>
      <w:r>
        <w:t>иных льгот</w:t>
      </w:r>
      <w:proofErr w:type="gramEnd"/>
      <w:r>
        <w:t xml:space="preserve"> и преимуществ является обследование.</w:t>
      </w:r>
    </w:p>
    <w:p w:rsidR="000365F2" w:rsidRPr="00D71FB8" w:rsidRDefault="000365F2" w:rsidP="00B7711A">
      <w:pPr>
        <w:spacing w:after="0" w:line="240" w:lineRule="auto"/>
        <w:ind w:firstLine="567"/>
        <w:jc w:val="both"/>
        <w:rPr>
          <w:b/>
          <w:highlight w:val="yellow"/>
        </w:rPr>
      </w:pPr>
    </w:p>
    <w:p w:rsidR="000365F2" w:rsidRPr="000365F2" w:rsidRDefault="000365F2" w:rsidP="000365F2">
      <w:pPr>
        <w:spacing w:after="0" w:line="240" w:lineRule="auto"/>
        <w:ind w:firstLine="567"/>
        <w:jc w:val="center"/>
        <w:rPr>
          <w:b/>
        </w:rPr>
      </w:pPr>
      <w:r w:rsidRPr="000365F2">
        <w:rPr>
          <w:b/>
        </w:rPr>
        <w:t>2. Требования к проведению оценки эффективности предоставления налоговых и</w:t>
      </w:r>
    </w:p>
    <w:p w:rsidR="000365F2" w:rsidRDefault="000365F2" w:rsidP="000365F2">
      <w:pPr>
        <w:spacing w:after="0" w:line="240" w:lineRule="auto"/>
        <w:ind w:firstLine="567"/>
        <w:jc w:val="center"/>
        <w:rPr>
          <w:b/>
        </w:rPr>
      </w:pPr>
      <w:proofErr w:type="gramStart"/>
      <w:r w:rsidRPr="000365F2">
        <w:rPr>
          <w:b/>
        </w:rPr>
        <w:t>иных</w:t>
      </w:r>
      <w:proofErr w:type="gramEnd"/>
      <w:r w:rsidRPr="000365F2">
        <w:rPr>
          <w:b/>
        </w:rPr>
        <w:t xml:space="preserve"> льгот и преимуществ</w:t>
      </w:r>
    </w:p>
    <w:p w:rsidR="008127C3" w:rsidRDefault="000365F2" w:rsidP="000365F2">
      <w:pPr>
        <w:spacing w:after="0" w:line="240" w:lineRule="auto"/>
        <w:ind w:firstLine="567"/>
        <w:jc w:val="both"/>
      </w:pPr>
      <w:r>
        <w:t xml:space="preserve">Проведение оценки налоговых или иных льгот и преимуществ осуществляется на основании результатов анализа эффективности налоговых льгот, установленных действующим законодательством, подготовленных </w:t>
      </w:r>
      <w:r w:rsidR="00F925B7">
        <w:t>органом местного самоуправления</w:t>
      </w:r>
      <w:r>
        <w:t xml:space="preserve">. </w:t>
      </w:r>
    </w:p>
    <w:p w:rsidR="008127C3" w:rsidRDefault="000365F2" w:rsidP="000365F2">
      <w:pPr>
        <w:spacing w:after="0" w:line="240" w:lineRule="auto"/>
        <w:ind w:firstLine="567"/>
        <w:jc w:val="both"/>
      </w:pPr>
      <w:r>
        <w:t xml:space="preserve">Для оценки налоговых льгот и преимуществ дополнительно могут быть запрошены сведения в УФНС по Иркутской области, а также в органах </w:t>
      </w:r>
      <w:r w:rsidR="008127C3">
        <w:t>местного самоуправления</w:t>
      </w:r>
      <w:r>
        <w:t xml:space="preserve">. </w:t>
      </w:r>
    </w:p>
    <w:p w:rsidR="008127C3" w:rsidRDefault="000365F2" w:rsidP="000365F2">
      <w:pPr>
        <w:spacing w:after="0" w:line="240" w:lineRule="auto"/>
        <w:ind w:firstLine="567"/>
        <w:jc w:val="both"/>
      </w:pPr>
      <w:r>
        <w:t xml:space="preserve">По итогам оценки формируется аналитическая информация, содержащая следующие сведения: </w:t>
      </w:r>
    </w:p>
    <w:p w:rsidR="008127C3" w:rsidRDefault="000365F2" w:rsidP="000365F2">
      <w:pPr>
        <w:spacing w:after="0" w:line="240" w:lineRule="auto"/>
        <w:ind w:firstLine="567"/>
        <w:jc w:val="both"/>
      </w:pPr>
      <w:r>
        <w:t xml:space="preserve">- оценка эффективности предоставленных (планируемых к предоставлению) налоговых льгот в </w:t>
      </w:r>
      <w:r w:rsidR="008127C3">
        <w:t xml:space="preserve">муниципальном образовании </w:t>
      </w:r>
      <w:proofErr w:type="spellStart"/>
      <w:r w:rsidR="008127C3">
        <w:t>Куйтунский</w:t>
      </w:r>
      <w:proofErr w:type="spellEnd"/>
      <w:r w:rsidR="008127C3">
        <w:t xml:space="preserve"> район</w:t>
      </w:r>
      <w:r>
        <w:t xml:space="preserve"> по видам налоговых льгот, видам экономической деятельности и категориям </w:t>
      </w:r>
      <w:proofErr w:type="spellStart"/>
      <w:r>
        <w:t>льготополучателей</w:t>
      </w:r>
      <w:proofErr w:type="spellEnd"/>
      <w:r>
        <w:t>;</w:t>
      </w:r>
    </w:p>
    <w:p w:rsidR="008127C3" w:rsidRDefault="000365F2" w:rsidP="000365F2">
      <w:pPr>
        <w:spacing w:after="0" w:line="240" w:lineRule="auto"/>
        <w:ind w:firstLine="567"/>
        <w:jc w:val="both"/>
      </w:pPr>
      <w:r>
        <w:t>- ан</w:t>
      </w:r>
      <w:r>
        <w:t xml:space="preserve">ализ объема выпадающих доходов </w:t>
      </w:r>
      <w:r w:rsidR="008127C3">
        <w:t>районного</w:t>
      </w:r>
      <w:r>
        <w:t xml:space="preserve"> бюджета в результате предоставления налоговых льгот и </w:t>
      </w:r>
      <w:proofErr w:type="gramStart"/>
      <w:r>
        <w:t>иных льгот</w:t>
      </w:r>
      <w:proofErr w:type="gramEnd"/>
      <w:r>
        <w:t xml:space="preserve"> и преимуществ; </w:t>
      </w:r>
    </w:p>
    <w:p w:rsidR="008127C3" w:rsidRDefault="000365F2" w:rsidP="000365F2">
      <w:pPr>
        <w:spacing w:after="0" w:line="240" w:lineRule="auto"/>
        <w:ind w:firstLine="567"/>
        <w:jc w:val="both"/>
      </w:pPr>
      <w:r>
        <w:t>- оценка изменений показателей финансово-хозяйственной деятельности категории налогоплательщиков в связи с предоставлением налоговой льготы;</w:t>
      </w:r>
    </w:p>
    <w:p w:rsidR="008127C3" w:rsidRDefault="000365F2" w:rsidP="000365F2">
      <w:pPr>
        <w:spacing w:after="0" w:line="240" w:lineRule="auto"/>
        <w:ind w:firstLine="567"/>
        <w:jc w:val="both"/>
      </w:pPr>
      <w:r>
        <w:t>- иная эффективность от предоставления налоговой льготы;</w:t>
      </w:r>
    </w:p>
    <w:p w:rsidR="000365F2" w:rsidRDefault="000365F2" w:rsidP="000365F2">
      <w:pPr>
        <w:spacing w:after="0" w:line="240" w:lineRule="auto"/>
        <w:ind w:firstLine="567"/>
        <w:jc w:val="both"/>
        <w:rPr>
          <w:b/>
        </w:rPr>
      </w:pPr>
      <w:r>
        <w:t>- выводы о целесообразности установления налоговой льготы</w:t>
      </w:r>
      <w:r w:rsidR="008127C3">
        <w:t>.</w:t>
      </w:r>
    </w:p>
    <w:p w:rsidR="000365F2" w:rsidRDefault="000365F2" w:rsidP="000365F2">
      <w:pPr>
        <w:spacing w:after="0" w:line="240" w:lineRule="auto"/>
        <w:ind w:firstLine="567"/>
        <w:jc w:val="both"/>
        <w:rPr>
          <w:b/>
        </w:rPr>
      </w:pPr>
    </w:p>
    <w:p w:rsidR="008127C3" w:rsidRPr="008127C3" w:rsidRDefault="005F7128" w:rsidP="008127C3">
      <w:pPr>
        <w:spacing w:after="0" w:line="240" w:lineRule="auto"/>
        <w:ind w:firstLine="567"/>
        <w:jc w:val="center"/>
        <w:rPr>
          <w:b/>
        </w:rPr>
      </w:pPr>
      <w:r w:rsidRPr="008127C3">
        <w:rPr>
          <w:b/>
        </w:rPr>
        <w:t xml:space="preserve">3. </w:t>
      </w:r>
      <w:r w:rsidR="008127C3" w:rsidRPr="008127C3">
        <w:rPr>
          <w:b/>
        </w:rPr>
        <w:t>Порядок оформления результатов проведения оценки эффективности</w:t>
      </w:r>
    </w:p>
    <w:p w:rsidR="005F7128" w:rsidRDefault="008127C3" w:rsidP="008127C3">
      <w:pPr>
        <w:spacing w:after="0" w:line="240" w:lineRule="auto"/>
        <w:ind w:firstLine="567"/>
        <w:jc w:val="center"/>
        <w:rPr>
          <w:b/>
        </w:rPr>
      </w:pPr>
      <w:proofErr w:type="gramStart"/>
      <w:r w:rsidRPr="008127C3">
        <w:rPr>
          <w:b/>
        </w:rPr>
        <w:t>предоставления</w:t>
      </w:r>
      <w:proofErr w:type="gramEnd"/>
      <w:r w:rsidRPr="008127C3">
        <w:rPr>
          <w:b/>
        </w:rPr>
        <w:t xml:space="preserve"> налоговых и иных льгот и преимуществ</w:t>
      </w:r>
    </w:p>
    <w:p w:rsidR="008127C3" w:rsidRPr="008127C3" w:rsidRDefault="008127C3" w:rsidP="008127C3">
      <w:pPr>
        <w:spacing w:after="0" w:line="240" w:lineRule="auto"/>
        <w:ind w:firstLine="567"/>
        <w:jc w:val="both"/>
        <w:rPr>
          <w:b/>
        </w:rPr>
      </w:pPr>
      <w:r>
        <w:t xml:space="preserve">Порядок оформления результатов оценки эффективности предоставления налоговых и иных льгот и преимуществ, осуществляется в соответствии со стандартом внешнего </w:t>
      </w:r>
      <w:r>
        <w:t>муниципаль</w:t>
      </w:r>
      <w:r>
        <w:t xml:space="preserve">ного финансового контроля «Общие правила проведения экспертно-аналитических мероприятий», или стандартом внешнего </w:t>
      </w:r>
      <w:r>
        <w:t>муниципаль</w:t>
      </w:r>
      <w:r>
        <w:t>н</w:t>
      </w:r>
      <w:bookmarkStart w:id="0" w:name="_GoBack"/>
      <w:bookmarkEnd w:id="0"/>
      <w:r>
        <w:t>ого финансового контроля «Проведение контрольных мероприятий».</w:t>
      </w:r>
    </w:p>
    <w:sectPr w:rsidR="008127C3" w:rsidRPr="0081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89"/>
    <w:rsid w:val="00015074"/>
    <w:rsid w:val="000365F2"/>
    <w:rsid w:val="000A0ECD"/>
    <w:rsid w:val="000B545D"/>
    <w:rsid w:val="000E4242"/>
    <w:rsid w:val="00105C8E"/>
    <w:rsid w:val="002034A8"/>
    <w:rsid w:val="002A269E"/>
    <w:rsid w:val="002B0D8E"/>
    <w:rsid w:val="00344BFD"/>
    <w:rsid w:val="0036709F"/>
    <w:rsid w:val="00373EC4"/>
    <w:rsid w:val="00376CB1"/>
    <w:rsid w:val="0039534A"/>
    <w:rsid w:val="003C79F7"/>
    <w:rsid w:val="004C3909"/>
    <w:rsid w:val="00500DB8"/>
    <w:rsid w:val="00524B47"/>
    <w:rsid w:val="00530287"/>
    <w:rsid w:val="00581281"/>
    <w:rsid w:val="005B1295"/>
    <w:rsid w:val="005B5A10"/>
    <w:rsid w:val="005F7128"/>
    <w:rsid w:val="0065709E"/>
    <w:rsid w:val="006F1403"/>
    <w:rsid w:val="00741080"/>
    <w:rsid w:val="007F2F4E"/>
    <w:rsid w:val="008127C3"/>
    <w:rsid w:val="00853AD5"/>
    <w:rsid w:val="008C11B3"/>
    <w:rsid w:val="008F174C"/>
    <w:rsid w:val="009242B7"/>
    <w:rsid w:val="009A0CE3"/>
    <w:rsid w:val="009F7B7B"/>
    <w:rsid w:val="00A005DF"/>
    <w:rsid w:val="00AB0180"/>
    <w:rsid w:val="00AC5EFA"/>
    <w:rsid w:val="00AE70EE"/>
    <w:rsid w:val="00AF75B7"/>
    <w:rsid w:val="00B13330"/>
    <w:rsid w:val="00B16277"/>
    <w:rsid w:val="00B25001"/>
    <w:rsid w:val="00B7711A"/>
    <w:rsid w:val="00C126CC"/>
    <w:rsid w:val="00C54FD6"/>
    <w:rsid w:val="00C76F7C"/>
    <w:rsid w:val="00CA7F5B"/>
    <w:rsid w:val="00CE31F2"/>
    <w:rsid w:val="00D125AD"/>
    <w:rsid w:val="00D30CB9"/>
    <w:rsid w:val="00D628E9"/>
    <w:rsid w:val="00D71FB8"/>
    <w:rsid w:val="00D913CF"/>
    <w:rsid w:val="00DF5700"/>
    <w:rsid w:val="00EB50BD"/>
    <w:rsid w:val="00ED3682"/>
    <w:rsid w:val="00EF0482"/>
    <w:rsid w:val="00F53A66"/>
    <w:rsid w:val="00F70E89"/>
    <w:rsid w:val="00F9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6191-F757-4C1C-9411-0473FE6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2021-10-18T04:02:00Z</cp:lastPrinted>
  <dcterms:created xsi:type="dcterms:W3CDTF">2021-10-18T03:24:00Z</dcterms:created>
  <dcterms:modified xsi:type="dcterms:W3CDTF">2021-10-28T02:26:00Z</dcterms:modified>
</cp:coreProperties>
</file>