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72" w:rsidRDefault="00D80372" w:rsidP="00D8037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0372" w:rsidRDefault="00D80372" w:rsidP="00D8037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80372" w:rsidRDefault="00D80372" w:rsidP="00D8037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D80372" w:rsidRDefault="00D80372" w:rsidP="00D80372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КУЙТУНСКИЙ РАЙОН</w:t>
      </w:r>
    </w:p>
    <w:p w:rsidR="00D80372" w:rsidRDefault="00D80372" w:rsidP="00D80372">
      <w:pPr>
        <w:ind w:right="-365"/>
        <w:jc w:val="center"/>
        <w:rPr>
          <w:b/>
          <w:sz w:val="28"/>
          <w:szCs w:val="28"/>
        </w:rPr>
      </w:pPr>
    </w:p>
    <w:p w:rsidR="00D80372" w:rsidRPr="002424E7" w:rsidRDefault="00D80372" w:rsidP="00D80372">
      <w:pPr>
        <w:ind w:left="360"/>
        <w:jc w:val="center"/>
        <w:rPr>
          <w:b/>
        </w:rPr>
      </w:pPr>
      <w:r w:rsidRPr="00944969">
        <w:rPr>
          <w:b/>
        </w:rPr>
        <w:t xml:space="preserve">Заключение КСП </w:t>
      </w:r>
      <w:r w:rsidRPr="00C9034D">
        <w:rPr>
          <w:b/>
        </w:rPr>
        <w:t xml:space="preserve">№ </w:t>
      </w:r>
      <w:r w:rsidR="002C3931">
        <w:rPr>
          <w:b/>
        </w:rPr>
        <w:t>2</w:t>
      </w:r>
      <w:r w:rsidR="00A423F6">
        <w:rPr>
          <w:b/>
        </w:rPr>
        <w:t>6</w:t>
      </w:r>
    </w:p>
    <w:p w:rsidR="00D80372" w:rsidRPr="00026C14" w:rsidRDefault="00D80372" w:rsidP="00D80372">
      <w:pPr>
        <w:jc w:val="center"/>
        <w:rPr>
          <w:b/>
        </w:rPr>
      </w:pPr>
      <w:r w:rsidRPr="00944969">
        <w:rPr>
          <w:b/>
          <w:color w:val="FF0000"/>
        </w:rPr>
        <w:t xml:space="preserve"> </w:t>
      </w:r>
      <w:proofErr w:type="gramStart"/>
      <w:r w:rsidRPr="00026C14">
        <w:rPr>
          <w:b/>
        </w:rPr>
        <w:t>по</w:t>
      </w:r>
      <w:proofErr w:type="gramEnd"/>
      <w:r w:rsidRPr="00026C14">
        <w:rPr>
          <w:b/>
        </w:rPr>
        <w:t xml:space="preserve"> результатам экспертизы  проекта бюджета </w:t>
      </w:r>
      <w:proofErr w:type="spellStart"/>
      <w:r>
        <w:rPr>
          <w:b/>
        </w:rPr>
        <w:t>Каразейского</w:t>
      </w:r>
      <w:proofErr w:type="spellEnd"/>
      <w:r w:rsidRPr="00026C14">
        <w:rPr>
          <w:b/>
        </w:rPr>
        <w:t xml:space="preserve">  </w:t>
      </w:r>
    </w:p>
    <w:p w:rsidR="00D80372" w:rsidRPr="00026C14" w:rsidRDefault="00D80372" w:rsidP="00D80372">
      <w:pPr>
        <w:ind w:left="-567" w:right="-285"/>
        <w:jc w:val="center"/>
        <w:rPr>
          <w:b/>
        </w:rPr>
      </w:pP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образования</w:t>
      </w:r>
      <w:r w:rsidRPr="00026C14">
        <w:rPr>
          <w:b/>
        </w:rPr>
        <w:t xml:space="preserve"> на </w:t>
      </w:r>
      <w:r w:rsidR="000C5254">
        <w:rPr>
          <w:b/>
        </w:rPr>
        <w:t>2022</w:t>
      </w:r>
      <w:r w:rsidRPr="00026C14">
        <w:rPr>
          <w:b/>
        </w:rPr>
        <w:t xml:space="preserve"> год </w:t>
      </w:r>
      <w:r>
        <w:rPr>
          <w:b/>
        </w:rPr>
        <w:t>и плановый период 202</w:t>
      </w:r>
      <w:r w:rsidR="000C5254">
        <w:rPr>
          <w:b/>
        </w:rPr>
        <w:t>3</w:t>
      </w:r>
      <w:r>
        <w:rPr>
          <w:b/>
        </w:rPr>
        <w:t xml:space="preserve"> и </w:t>
      </w:r>
      <w:r w:rsidR="000C5254">
        <w:rPr>
          <w:b/>
        </w:rPr>
        <w:t>2024</w:t>
      </w:r>
      <w:r>
        <w:rPr>
          <w:b/>
        </w:rPr>
        <w:t xml:space="preserve"> годов.</w:t>
      </w:r>
    </w:p>
    <w:p w:rsidR="00D80372" w:rsidRPr="00026C14" w:rsidRDefault="00D80372" w:rsidP="00D80372">
      <w:pPr>
        <w:ind w:left="360"/>
        <w:jc w:val="center"/>
        <w:rPr>
          <w:color w:val="FF0000"/>
        </w:rPr>
      </w:pPr>
    </w:p>
    <w:p w:rsidR="00D80372" w:rsidRPr="00026C14" w:rsidRDefault="00D80372" w:rsidP="00D80372">
      <w:pPr>
        <w:jc w:val="both"/>
      </w:pPr>
      <w:proofErr w:type="spellStart"/>
      <w:r w:rsidRPr="00026C14">
        <w:t>р.п</w:t>
      </w:r>
      <w:proofErr w:type="spellEnd"/>
      <w:r w:rsidRPr="00026C14">
        <w:t xml:space="preserve">. Куйтун                                                                                                    </w:t>
      </w:r>
      <w:r>
        <w:t xml:space="preserve">     </w:t>
      </w:r>
      <w:r w:rsidR="00396879">
        <w:t>19</w:t>
      </w:r>
      <w:r w:rsidR="000C5254">
        <w:t xml:space="preserve"> ноября</w:t>
      </w:r>
      <w:r w:rsidRPr="00026C14">
        <w:t xml:space="preserve"> </w:t>
      </w:r>
      <w:r w:rsidR="000C5254">
        <w:t>2021</w:t>
      </w:r>
      <w:r w:rsidRPr="00026C14">
        <w:t xml:space="preserve"> г.</w:t>
      </w:r>
    </w:p>
    <w:p w:rsidR="00D80372" w:rsidRDefault="00D80372" w:rsidP="00D80372">
      <w:pPr>
        <w:ind w:left="360"/>
        <w:jc w:val="center"/>
        <w:rPr>
          <w:b/>
        </w:rPr>
      </w:pPr>
      <w:r w:rsidRPr="00026C14">
        <w:rPr>
          <w:b/>
        </w:rPr>
        <w:t>1. Общее положение</w:t>
      </w:r>
    </w:p>
    <w:p w:rsidR="00D80372" w:rsidRPr="00A441D3" w:rsidRDefault="00D80372" w:rsidP="00D80372">
      <w:pPr>
        <w:ind w:firstLine="567"/>
        <w:jc w:val="both"/>
      </w:pPr>
      <w:r w:rsidRPr="00A441D3">
        <w:t xml:space="preserve">Заключение КСП по результатам экспертизы  проекта бюджета </w:t>
      </w:r>
      <w:proofErr w:type="spellStart"/>
      <w:r>
        <w:t>Каразейского</w:t>
      </w:r>
      <w:proofErr w:type="spellEnd"/>
      <w:r w:rsidRPr="00A441D3">
        <w:t xml:space="preserve">  </w:t>
      </w:r>
      <w:r>
        <w:t>муниципального образования</w:t>
      </w:r>
      <w:r w:rsidRPr="00A441D3">
        <w:t xml:space="preserve">  на </w:t>
      </w:r>
      <w:r>
        <w:t>202</w:t>
      </w:r>
      <w:r w:rsidR="000C5254">
        <w:t>2</w:t>
      </w:r>
      <w:r w:rsidRPr="00A441D3">
        <w:t xml:space="preserve"> год</w:t>
      </w:r>
      <w:r>
        <w:t xml:space="preserve"> и плановый период 202</w:t>
      </w:r>
      <w:r w:rsidR="000C5254">
        <w:t>3 и 2024</w:t>
      </w:r>
      <w:r>
        <w:t xml:space="preserve"> годов</w:t>
      </w:r>
      <w:r w:rsidRPr="00A441D3">
        <w:t xml:space="preserve"> </w:t>
      </w:r>
      <w:r>
        <w:t xml:space="preserve">(далее – Проект, проект бюджета) </w:t>
      </w:r>
      <w:r w:rsidRPr="00A441D3">
        <w:t xml:space="preserve">подготовлено  в соответствии  с </w:t>
      </w:r>
      <w:r>
        <w:t>бюджетными полномочиями Контрольно-счетной палаты района, определенными</w:t>
      </w:r>
      <w:r w:rsidRPr="00A441D3">
        <w:t xml:space="preserve"> п. 2  ст. 157 Бюджетного кодекса Российской Федерации</w:t>
      </w:r>
      <w:r>
        <w:t xml:space="preserve"> (далее – БК РФ)</w:t>
      </w:r>
      <w:r w:rsidRPr="00A441D3">
        <w:t xml:space="preserve">, </w:t>
      </w:r>
      <w:r>
        <w:t xml:space="preserve">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</w:t>
      </w:r>
      <w:proofErr w:type="spellStart"/>
      <w:r>
        <w:t>Каразейского</w:t>
      </w:r>
      <w:proofErr w:type="spellEnd"/>
      <w:r>
        <w:t xml:space="preserve"> МО «Об утверждении положения о бюджетном процессе в </w:t>
      </w:r>
      <w:proofErr w:type="spellStart"/>
      <w:r>
        <w:t>Каразейском</w:t>
      </w:r>
      <w:proofErr w:type="spellEnd"/>
      <w:r>
        <w:t xml:space="preserve"> МО», </w:t>
      </w:r>
      <w:r w:rsidRPr="00A441D3">
        <w:t>Соглашением о передаче полномочий по организации осуществления внешнего</w:t>
      </w:r>
      <w:r w:rsidRPr="00A441D3">
        <w:rPr>
          <w:sz w:val="20"/>
          <w:szCs w:val="20"/>
        </w:rPr>
        <w:t xml:space="preserve"> </w:t>
      </w:r>
      <w:r w:rsidRPr="00A441D3">
        <w:t xml:space="preserve">муниципального финансового контроля в </w:t>
      </w:r>
      <w:proofErr w:type="spellStart"/>
      <w:r>
        <w:t>Каразей</w:t>
      </w:r>
      <w:r w:rsidRPr="00A441D3">
        <w:t>ском</w:t>
      </w:r>
      <w:proofErr w:type="spellEnd"/>
      <w:r w:rsidRPr="00A441D3">
        <w:t xml:space="preserve"> муниципальном образовании на 20</w:t>
      </w:r>
      <w:r>
        <w:t>20</w:t>
      </w:r>
      <w:r w:rsidRPr="00A441D3">
        <w:t xml:space="preserve">год и плановый период </w:t>
      </w:r>
      <w:r>
        <w:t xml:space="preserve">2021 </w:t>
      </w:r>
      <w:r w:rsidRPr="00A441D3">
        <w:t xml:space="preserve">и </w:t>
      </w:r>
      <w:r>
        <w:t>2022</w:t>
      </w:r>
      <w:r w:rsidR="00BD6052">
        <w:t xml:space="preserve"> </w:t>
      </w:r>
      <w:r w:rsidRPr="00A441D3">
        <w:t xml:space="preserve">годов,  планом работы </w:t>
      </w:r>
      <w:r>
        <w:t>КСП на 202</w:t>
      </w:r>
      <w:r w:rsidR="000C5254">
        <w:t>1</w:t>
      </w:r>
      <w:r w:rsidRPr="00A441D3">
        <w:t>год.</w:t>
      </w:r>
    </w:p>
    <w:p w:rsidR="00D80372" w:rsidRDefault="00D80372" w:rsidP="00D80372">
      <w:pPr>
        <w:ind w:firstLine="567"/>
        <w:jc w:val="both"/>
      </w:pPr>
      <w:r w:rsidRPr="0070084B">
        <w:t xml:space="preserve">Экспертиза проекта бюджета </w:t>
      </w:r>
      <w:proofErr w:type="spellStart"/>
      <w:r>
        <w:t>Каразей</w:t>
      </w:r>
      <w:r w:rsidRPr="0070084B">
        <w:t>ского</w:t>
      </w:r>
      <w:proofErr w:type="spellEnd"/>
      <w:r w:rsidRPr="0070084B">
        <w:t xml:space="preserve"> сельского поселения  (далее – поселение, муниципальное образование) на </w:t>
      </w:r>
      <w:r>
        <w:t>202</w:t>
      </w:r>
      <w:r w:rsidR="000C5254">
        <w:t>2</w:t>
      </w:r>
      <w:r w:rsidRPr="0070084B">
        <w:t xml:space="preserve"> год и плановый период </w:t>
      </w:r>
      <w:r w:rsidR="000C5254">
        <w:t>2023</w:t>
      </w:r>
      <w:r w:rsidRPr="0070084B">
        <w:t xml:space="preserve"> и </w:t>
      </w:r>
      <w:r>
        <w:t>202</w:t>
      </w:r>
      <w:r w:rsidR="000C5254">
        <w:t>4</w:t>
      </w:r>
      <w:r w:rsidRPr="0070084B">
        <w:t xml:space="preserve"> годов проведена в целях определения соответствия Проекта бюджетному законодательству, отсутствия противоречий с другими нормативными правовыми актами и документами стратегического планирования, а также формирование мотивированного заключения по результатам  оценки  полноты обоснованности и достоверности плановых (прогнозных) показателей в Проекте бюджета</w:t>
      </w:r>
      <w:r>
        <w:t>.</w:t>
      </w:r>
    </w:p>
    <w:p w:rsidR="00D80372" w:rsidRDefault="00D80372" w:rsidP="00D80372">
      <w:pPr>
        <w:ind w:firstLine="567"/>
        <w:jc w:val="both"/>
      </w:pPr>
      <w:r>
        <w:t xml:space="preserve"> </w:t>
      </w:r>
      <w:r w:rsidRPr="0070084B">
        <w:t xml:space="preserve">В соответствии </w:t>
      </w:r>
      <w:r w:rsidRPr="00E43ACD">
        <w:t xml:space="preserve">со </w:t>
      </w:r>
      <w:r w:rsidRPr="00E43AC7">
        <w:t>ст.12</w:t>
      </w:r>
      <w:r w:rsidRPr="0070084B">
        <w:t xml:space="preserve"> Положения «О бюджетном процессе в </w:t>
      </w:r>
      <w:proofErr w:type="spellStart"/>
      <w:r>
        <w:t>Каразей</w:t>
      </w:r>
      <w:r w:rsidRPr="0070084B">
        <w:t>ском</w:t>
      </w:r>
      <w:proofErr w:type="spellEnd"/>
      <w:r w:rsidRPr="0070084B">
        <w:t xml:space="preserve"> муниципальном образовании» проект бюджета составлен на три года: очередной финансовый год (</w:t>
      </w:r>
      <w:r>
        <w:t>202</w:t>
      </w:r>
      <w:r w:rsidR="000C5254">
        <w:t>2</w:t>
      </w:r>
      <w:r w:rsidRPr="0070084B">
        <w:t>г.) и плановый период (</w:t>
      </w:r>
      <w:r w:rsidR="000C5254">
        <w:t>2023</w:t>
      </w:r>
      <w:r w:rsidRPr="0070084B">
        <w:t xml:space="preserve"> и </w:t>
      </w:r>
      <w:r>
        <w:t>202</w:t>
      </w:r>
      <w:r w:rsidR="000C5254">
        <w:t>4</w:t>
      </w:r>
      <w:r w:rsidRPr="0070084B">
        <w:t>гг.). Проект бюджета сформирован непрограммным методом.</w:t>
      </w:r>
    </w:p>
    <w:p w:rsidR="00F47B4B" w:rsidRPr="00F47B4B" w:rsidRDefault="00D80372" w:rsidP="00D80372">
      <w:pPr>
        <w:ind w:firstLine="567"/>
        <w:jc w:val="both"/>
      </w:pPr>
      <w:r>
        <w:t xml:space="preserve">Проект бюджета внесен на рассмотрение в Думу </w:t>
      </w:r>
      <w:proofErr w:type="spellStart"/>
      <w:r>
        <w:t>Каразейского</w:t>
      </w:r>
      <w:proofErr w:type="spellEnd"/>
      <w:r>
        <w:t xml:space="preserve"> муниципального образования в срок, </w:t>
      </w:r>
      <w:r w:rsidRPr="00597F5E">
        <w:t>установленный ст</w:t>
      </w:r>
      <w:r w:rsidRPr="00D015C9">
        <w:t>. 26 Положения</w:t>
      </w:r>
      <w:r w:rsidRPr="00597F5E">
        <w:t xml:space="preserve"> о бюджетном процессе (не п</w:t>
      </w:r>
      <w:r>
        <w:t xml:space="preserve">озднее 15 ноября текущего года), постановлением администрации </w:t>
      </w:r>
      <w:proofErr w:type="spellStart"/>
      <w:r>
        <w:t>Каразейского</w:t>
      </w:r>
      <w:proofErr w:type="spellEnd"/>
      <w:r>
        <w:t xml:space="preserve"> МО от 1</w:t>
      </w:r>
      <w:r w:rsidR="00F47B4B">
        <w:t>2</w:t>
      </w:r>
      <w:r>
        <w:t>.11.202</w:t>
      </w:r>
      <w:r w:rsidR="00F47B4B">
        <w:t>1</w:t>
      </w:r>
      <w:r>
        <w:t xml:space="preserve">г. № </w:t>
      </w:r>
      <w:r w:rsidR="00F47B4B">
        <w:t>38</w:t>
      </w:r>
      <w:r>
        <w:t>.</w:t>
      </w:r>
      <w:r w:rsidRPr="00597F5E">
        <w:t xml:space="preserve"> </w:t>
      </w:r>
      <w:r>
        <w:t>С</w:t>
      </w:r>
      <w:r w:rsidRPr="0083080B">
        <w:t>татьей</w:t>
      </w:r>
      <w:r>
        <w:t xml:space="preserve"> 27 Положения о бюджетном процессе</w:t>
      </w:r>
      <w:r w:rsidRPr="0083080B">
        <w:t xml:space="preserve"> определено, что в течение суток со дня внесения проекта решения о бюджете в Думу председатель Думы направляет его в орган внешнего муниципального финансового контроля.</w:t>
      </w:r>
      <w:r>
        <w:t xml:space="preserve"> </w:t>
      </w:r>
      <w:r w:rsidRPr="00F47B4B">
        <w:t>Проект представлен в КСП 1</w:t>
      </w:r>
      <w:r w:rsidR="00F47B4B" w:rsidRPr="00F47B4B">
        <w:t>5</w:t>
      </w:r>
      <w:r w:rsidRPr="00F47B4B">
        <w:t>.11.202</w:t>
      </w:r>
      <w:r w:rsidR="00F47B4B" w:rsidRPr="00F47B4B">
        <w:t>1</w:t>
      </w:r>
      <w:r w:rsidR="00990CB2">
        <w:t xml:space="preserve"> года.</w:t>
      </w:r>
    </w:p>
    <w:p w:rsidR="00D80372" w:rsidRDefault="00D80372" w:rsidP="00D80372">
      <w:pPr>
        <w:ind w:firstLine="567"/>
        <w:jc w:val="both"/>
      </w:pPr>
      <w:r w:rsidRPr="00D015C9">
        <w:rPr>
          <w:b/>
        </w:rPr>
        <w:t xml:space="preserve"> </w:t>
      </w:r>
      <w:r w:rsidRPr="00E43ACD">
        <w:t xml:space="preserve">Статьей </w:t>
      </w:r>
      <w:r w:rsidRPr="00D015C9">
        <w:t>27</w:t>
      </w:r>
      <w:r w:rsidRPr="00E43ACD">
        <w:t xml:space="preserve"> Положения о бюджетном процессе установлено, что заключение</w:t>
      </w:r>
      <w:r>
        <w:t xml:space="preserve"> на проект бюджета подготавливается </w:t>
      </w:r>
      <w:r w:rsidRPr="00E43ACD">
        <w:t>в течение 20 календарных</w:t>
      </w:r>
      <w:r>
        <w:t xml:space="preserve"> дней. Настоящее заключение подготовлено </w:t>
      </w:r>
      <w:r w:rsidR="00396879" w:rsidRPr="00396879">
        <w:t>19</w:t>
      </w:r>
      <w:r w:rsidRPr="00396879">
        <w:t xml:space="preserve"> </w:t>
      </w:r>
      <w:r w:rsidR="00396879" w:rsidRPr="00396879">
        <w:t>ноября 2021 го</w:t>
      </w:r>
      <w:r w:rsidRPr="00396879">
        <w:t xml:space="preserve">да, или в течение </w:t>
      </w:r>
      <w:r w:rsidR="00396879" w:rsidRPr="00396879">
        <w:t xml:space="preserve">5 </w:t>
      </w:r>
      <w:r w:rsidRPr="00396879">
        <w:t>календарных дней.</w:t>
      </w:r>
    </w:p>
    <w:p w:rsidR="00D80372" w:rsidRPr="00C12FFB" w:rsidRDefault="00D80372" w:rsidP="00D80372">
      <w:pPr>
        <w:ind w:firstLine="567"/>
        <w:jc w:val="both"/>
      </w:pPr>
      <w:r>
        <w:t xml:space="preserve">Дума рассматривает проект решения о бюджете в </w:t>
      </w:r>
      <w:r w:rsidRPr="00E43ACD">
        <w:t>течение 20 календарных</w:t>
      </w:r>
      <w:r>
        <w:t xml:space="preserve"> дней с момента получения заключения от КСП.</w:t>
      </w:r>
    </w:p>
    <w:p w:rsidR="00396879" w:rsidRPr="00D1291B" w:rsidRDefault="00D80372" w:rsidP="00396879">
      <w:pPr>
        <w:ind w:firstLine="567"/>
        <w:jc w:val="both"/>
        <w:rPr>
          <w:b/>
        </w:rPr>
      </w:pPr>
      <w:r w:rsidRPr="00C12FFB">
        <w:t>Проект бюджета проанализирован на его соответствие требованиям БК РФ.</w:t>
      </w:r>
      <w:r w:rsidRPr="006A1462">
        <w:t xml:space="preserve"> </w:t>
      </w:r>
      <w:r>
        <w:t>П</w:t>
      </w:r>
      <w:r w:rsidRPr="006A1462">
        <w:t xml:space="preserve">роект решения и материалы, представленные вместе с ним, </w:t>
      </w:r>
      <w:r>
        <w:t xml:space="preserve">в основном, </w:t>
      </w:r>
      <w:r w:rsidRPr="006A1462">
        <w:t>соответствуют требованиям ст.ст.184.1, 184.2 БК РФ и ст.</w:t>
      </w:r>
      <w:r>
        <w:t xml:space="preserve"> </w:t>
      </w:r>
      <w:r w:rsidRPr="006A1462">
        <w:t>ст</w:t>
      </w:r>
      <w:r w:rsidRPr="00BD1508">
        <w:t xml:space="preserve">. </w:t>
      </w:r>
      <w:r w:rsidRPr="00D015C9">
        <w:t>24,25</w:t>
      </w:r>
      <w:r w:rsidRPr="00E43ACD">
        <w:t xml:space="preserve"> Положения</w:t>
      </w:r>
      <w:r w:rsidRPr="00BD1508">
        <w:t xml:space="preserve"> о бюджетном процессе поселения</w:t>
      </w:r>
      <w:r w:rsidRPr="006A1462">
        <w:t>.</w:t>
      </w:r>
      <w:r>
        <w:t xml:space="preserve"> </w:t>
      </w:r>
      <w:r w:rsidR="00D1291B" w:rsidRPr="00D1291B">
        <w:rPr>
          <w:b/>
        </w:rPr>
        <w:t>Вместе с тем имеются замечания: о</w:t>
      </w:r>
      <w:r w:rsidRPr="00D1291B">
        <w:rPr>
          <w:b/>
        </w:rPr>
        <w:t xml:space="preserve">дновременно с проектом </w:t>
      </w:r>
      <w:r w:rsidR="00396879" w:rsidRPr="00D1291B">
        <w:rPr>
          <w:b/>
        </w:rPr>
        <w:t>методики</w:t>
      </w:r>
      <w:r w:rsidR="001349AB" w:rsidRPr="00D1291B">
        <w:rPr>
          <w:b/>
        </w:rPr>
        <w:t xml:space="preserve"> (проекты методик)</w:t>
      </w:r>
      <w:r w:rsidR="00396879" w:rsidRPr="00D1291B">
        <w:rPr>
          <w:b/>
        </w:rPr>
        <w:t xml:space="preserve"> и расчеты распределения межбюджетных трансфертов представлены в неполном объеме (представлена одна методика из четырех предусмотренных к финансированию).</w:t>
      </w:r>
    </w:p>
    <w:p w:rsidR="00B31BB4" w:rsidRPr="00B31BB4" w:rsidRDefault="00B31BB4" w:rsidP="00B31BB4">
      <w:pPr>
        <w:ind w:firstLine="567"/>
        <w:jc w:val="both"/>
        <w:rPr>
          <w:b/>
        </w:rPr>
      </w:pPr>
    </w:p>
    <w:p w:rsidR="00D80372" w:rsidRPr="00C96FDE" w:rsidRDefault="00D80372" w:rsidP="00D80372">
      <w:pPr>
        <w:jc w:val="center"/>
        <w:rPr>
          <w:b/>
        </w:rPr>
      </w:pPr>
      <w:r>
        <w:rPr>
          <w:b/>
        </w:rPr>
        <w:t>2</w:t>
      </w:r>
      <w:r w:rsidRPr="00C96FDE">
        <w:rPr>
          <w:b/>
        </w:rPr>
        <w:t xml:space="preserve">. Параметры прогноза макроэкономических показателей для составления </w:t>
      </w:r>
    </w:p>
    <w:p w:rsidR="00615BE1" w:rsidRPr="005D6DC3" w:rsidRDefault="00D80372" w:rsidP="005D6DC3">
      <w:pPr>
        <w:jc w:val="center"/>
        <w:rPr>
          <w:b/>
          <w:color w:val="FF0000"/>
        </w:rPr>
      </w:pPr>
      <w:proofErr w:type="gramStart"/>
      <w:r w:rsidRPr="00C96FDE">
        <w:rPr>
          <w:b/>
        </w:rPr>
        <w:t>проекта</w:t>
      </w:r>
      <w:proofErr w:type="gramEnd"/>
      <w:r w:rsidRPr="00C96FDE">
        <w:rPr>
          <w:b/>
        </w:rPr>
        <w:t xml:space="preserve"> бюджета</w:t>
      </w:r>
      <w:r w:rsidRPr="00A441D3">
        <w:rPr>
          <w:b/>
          <w:color w:val="FF0000"/>
        </w:rPr>
        <w:t xml:space="preserve"> </w:t>
      </w:r>
    </w:p>
    <w:p w:rsidR="00F62429" w:rsidRDefault="00D80372" w:rsidP="00F62429">
      <w:pPr>
        <w:ind w:firstLine="567"/>
        <w:jc w:val="both"/>
      </w:pPr>
      <w:r w:rsidRPr="00D001C7">
        <w:t xml:space="preserve">Согласно </w:t>
      </w:r>
      <w:r>
        <w:t>ст. 169 Бюджетного кодекса РФ, ст</w:t>
      </w:r>
      <w:r w:rsidRPr="00E43AC7">
        <w:t>.12 Положения</w:t>
      </w:r>
      <w:r>
        <w:t xml:space="preserve"> о бюджетном процессе проект бюджета составляется на основе прогноза социально-экономического развития муниципального образования в целях финансового обе</w:t>
      </w:r>
      <w:r w:rsidR="005D6DC3">
        <w:t xml:space="preserve">спечения расходных обязательств (далее – прогноз СЭР). </w:t>
      </w:r>
      <w:r w:rsidR="00F62429" w:rsidRPr="00F62429">
        <w:rPr>
          <w:b/>
        </w:rPr>
        <w:t>В нарушение норм ст.173 БК РФ и ст.12 Положения о бюджетном процессе пояснительная записка к Прогнозу СЭР отсутствует.</w:t>
      </w:r>
    </w:p>
    <w:p w:rsidR="00D80372" w:rsidRDefault="00D80372" w:rsidP="00D80372">
      <w:pPr>
        <w:ind w:firstLine="567"/>
        <w:jc w:val="both"/>
      </w:pPr>
      <w:r w:rsidRPr="00A93535">
        <w:t xml:space="preserve">Прогноз социально-экономического развития поселения на </w:t>
      </w:r>
      <w:r>
        <w:t>202</w:t>
      </w:r>
      <w:r w:rsidR="008C4A3C" w:rsidRPr="008C4A3C">
        <w:t>2.</w:t>
      </w:r>
      <w:r>
        <w:t xml:space="preserve"> год и плановый период 202</w:t>
      </w:r>
      <w:r w:rsidR="008C4A3C" w:rsidRPr="008C4A3C">
        <w:t>3</w:t>
      </w:r>
      <w:r w:rsidRPr="00A93535">
        <w:t>-</w:t>
      </w:r>
      <w:r>
        <w:t>202</w:t>
      </w:r>
      <w:r w:rsidR="008C4A3C" w:rsidRPr="008C4A3C">
        <w:t>4</w:t>
      </w:r>
      <w:r w:rsidRPr="00A93535">
        <w:t xml:space="preserve">гг.  </w:t>
      </w:r>
      <w:proofErr w:type="gramStart"/>
      <w:r w:rsidRPr="00A93535">
        <w:t>одобрен</w:t>
      </w:r>
      <w:proofErr w:type="gramEnd"/>
      <w:r w:rsidRPr="00A93535">
        <w:t xml:space="preserve"> </w:t>
      </w:r>
      <w:r>
        <w:t>постановлением</w:t>
      </w:r>
      <w:r w:rsidRPr="00A93535">
        <w:t xml:space="preserve"> </w:t>
      </w:r>
      <w:r>
        <w:t xml:space="preserve">главы </w:t>
      </w:r>
      <w:r w:rsidRPr="00A93535">
        <w:t>администрации МО</w:t>
      </w:r>
      <w:r w:rsidRPr="00C96FDE">
        <w:t xml:space="preserve"> </w:t>
      </w:r>
      <w:r w:rsidRPr="00F07C9C">
        <w:t>от 1</w:t>
      </w:r>
      <w:r w:rsidR="008C4A3C" w:rsidRPr="008C4A3C">
        <w:t>2</w:t>
      </w:r>
      <w:r w:rsidRPr="00F07C9C">
        <w:t>.11.</w:t>
      </w:r>
      <w:r w:rsidR="008C4A3C">
        <w:t>2021</w:t>
      </w:r>
      <w:r w:rsidRPr="00F07C9C">
        <w:t>г</w:t>
      </w:r>
      <w:r w:rsidRPr="00A93535">
        <w:t xml:space="preserve">. </w:t>
      </w:r>
      <w:r w:rsidRPr="00BB7EFD">
        <w:t>№</w:t>
      </w:r>
      <w:r w:rsidRPr="002524F9">
        <w:rPr>
          <w:b/>
        </w:rPr>
        <w:t xml:space="preserve"> </w:t>
      </w:r>
      <w:r w:rsidR="008C4A3C" w:rsidRPr="008C4A3C">
        <w:t>38</w:t>
      </w:r>
      <w:r w:rsidRPr="00F07C9C">
        <w:t xml:space="preserve"> (далее</w:t>
      </w:r>
      <w:r w:rsidRPr="00A93535">
        <w:t xml:space="preserve"> – Прогноз)</w:t>
      </w:r>
      <w:r w:rsidRPr="00F07C9C">
        <w:t xml:space="preserve"> одновременно</w:t>
      </w:r>
      <w:r w:rsidRPr="00A93535">
        <w:t xml:space="preserve"> с принятием решения о внесении проекта бюджета в представительный орган</w:t>
      </w:r>
      <w:r>
        <w:t>, чем</w:t>
      </w:r>
      <w:r w:rsidRPr="009854F2">
        <w:t xml:space="preserve"> </w:t>
      </w:r>
      <w:r>
        <w:t>соблюдены нормы ст.173 БК РФ и ст</w:t>
      </w:r>
      <w:r w:rsidRPr="00E43ACD">
        <w:t>. 1</w:t>
      </w:r>
      <w:r>
        <w:t>5 Положения о бюджетном процессе.</w:t>
      </w:r>
      <w:r w:rsidRPr="00A93535">
        <w:t xml:space="preserve"> </w:t>
      </w:r>
    </w:p>
    <w:p w:rsidR="00D80372" w:rsidRDefault="00D80372" w:rsidP="00D80372">
      <w:pPr>
        <w:ind w:firstLine="567"/>
        <w:jc w:val="both"/>
      </w:pPr>
      <w:r>
        <w:t xml:space="preserve">Прогноз социально-экономического развития поселения представлен в одном варианте. </w:t>
      </w:r>
    </w:p>
    <w:p w:rsidR="00720636" w:rsidRDefault="003074DB" w:rsidP="00720636">
      <w:pPr>
        <w:ind w:firstLine="567"/>
        <w:jc w:val="both"/>
      </w:pPr>
      <w:r w:rsidRPr="0038720E">
        <w:t>Основным показателем, характеризующим экономическое развитие поселения, является выручка от реализации товаров (работ, услуг). Выручка от реализации продукции, работ, услуг по оценке за 202</w:t>
      </w:r>
      <w:r>
        <w:t>1</w:t>
      </w:r>
      <w:r w:rsidRPr="0038720E">
        <w:t xml:space="preserve"> год составит </w:t>
      </w:r>
      <w:r>
        <w:t>123,2</w:t>
      </w:r>
      <w:r w:rsidRPr="0038720E">
        <w:t xml:space="preserve"> тыс. руб., что на </w:t>
      </w:r>
      <w:r>
        <w:t>4,8</w:t>
      </w:r>
      <w:r w:rsidRPr="0038720E">
        <w:t>% боль</w:t>
      </w:r>
      <w:r>
        <w:t>ше чем в 2020</w:t>
      </w:r>
      <w:r w:rsidRPr="0038720E">
        <w:t xml:space="preserve"> году – </w:t>
      </w:r>
      <w:r>
        <w:t>117,5</w:t>
      </w:r>
      <w:r w:rsidRPr="0038720E">
        <w:t xml:space="preserve"> тыс. руб. По прогнозу на 202</w:t>
      </w:r>
      <w:r>
        <w:t>2</w:t>
      </w:r>
      <w:r w:rsidRPr="0038720E">
        <w:t xml:space="preserve"> год объем выручки вырастит на </w:t>
      </w:r>
      <w:r>
        <w:t>3,4</w:t>
      </w:r>
      <w:r w:rsidRPr="0038720E">
        <w:t>% к оценке 20</w:t>
      </w:r>
      <w:r>
        <w:t>21</w:t>
      </w:r>
      <w:r w:rsidRPr="0038720E">
        <w:t xml:space="preserve"> года и составит </w:t>
      </w:r>
      <w:r>
        <w:t>127,56</w:t>
      </w:r>
      <w:r w:rsidRPr="0038720E">
        <w:t xml:space="preserve"> тыс.  руб.,</w:t>
      </w:r>
      <w:r w:rsidRPr="00C27AF6">
        <w:rPr>
          <w:color w:val="FF0000"/>
        </w:rPr>
        <w:t xml:space="preserve"> </w:t>
      </w:r>
      <w:r w:rsidRPr="0038720E">
        <w:t>на 202</w:t>
      </w:r>
      <w:r>
        <w:t>3</w:t>
      </w:r>
      <w:r w:rsidRPr="0038720E">
        <w:t>-202</w:t>
      </w:r>
      <w:r>
        <w:t>4</w:t>
      </w:r>
      <w:r w:rsidRPr="0038720E">
        <w:t xml:space="preserve">гг. темпы прироста </w:t>
      </w:r>
      <w:r>
        <w:t>выручки</w:t>
      </w:r>
      <w:r w:rsidRPr="0038720E">
        <w:t xml:space="preserve"> прогнозируются в размере по </w:t>
      </w:r>
      <w:r>
        <w:t>3,9%</w:t>
      </w:r>
      <w:r w:rsidRPr="0038720E">
        <w:t xml:space="preserve"> ежегодно.</w:t>
      </w:r>
      <w:r>
        <w:t xml:space="preserve"> </w:t>
      </w:r>
      <w:r w:rsidR="00720636">
        <w:t xml:space="preserve">Выручка планируется в трех сферах: сельское хозяйство, торговля и прочие. </w:t>
      </w:r>
    </w:p>
    <w:p w:rsidR="00720636" w:rsidRDefault="00720636" w:rsidP="00720636">
      <w:pPr>
        <w:ind w:firstLine="567"/>
        <w:jc w:val="both"/>
      </w:pPr>
      <w:r>
        <w:t>Данные Прогноза свидетельствуют о том, что выручка от реализации продукции сельского хозяйства является самой значительной в общем объеме выручки и составляет 97,4%.</w:t>
      </w:r>
      <w:r w:rsidRPr="00720636">
        <w:t xml:space="preserve"> </w:t>
      </w:r>
      <w:r w:rsidR="00897726">
        <w:t>По оценке в 2021</w:t>
      </w:r>
      <w:r>
        <w:t xml:space="preserve"> году выручка от реализации сельскохозяйственной продукции составит 120 млн. руб., по прогнозу на 2022 год по отношению к 2021 году объем выручки планируется с ростом на </w:t>
      </w:r>
      <w:r w:rsidR="00C07D5A">
        <w:t>3,6</w:t>
      </w:r>
      <w:r>
        <w:t>%, на плановый период</w:t>
      </w:r>
      <w:r w:rsidR="00897726">
        <w:t xml:space="preserve"> 2023-2024гг.</w:t>
      </w:r>
      <w:r>
        <w:t xml:space="preserve"> также планируется ежегодный рост по 3,9%.</w:t>
      </w:r>
    </w:p>
    <w:p w:rsidR="00201DA3" w:rsidRDefault="00041C1A" w:rsidP="00041C1A">
      <w:pPr>
        <w:ind w:firstLine="567"/>
        <w:jc w:val="both"/>
      </w:pPr>
      <w:r>
        <w:t xml:space="preserve">Оборот розничной торговли по оценке 2021 года составит 3 млн. руб., или 107,1% к факту 2020 года. </w:t>
      </w:r>
      <w:r w:rsidR="00201DA3">
        <w:t xml:space="preserve">На 2022 год объем выручки прогнозируется на уровне оценки 2021 года в сумме 3 млн. руб., на 2023 год темп роста составит 106,6 % (3,2 млн. руб.), на 2024 год </w:t>
      </w:r>
      <w:r w:rsidR="0099186E">
        <w:t>–</w:t>
      </w:r>
      <w:r w:rsidR="00201DA3">
        <w:t xml:space="preserve"> </w:t>
      </w:r>
      <w:r w:rsidR="0099186E">
        <w:t>103,1% (3,3 млн. руб.).</w:t>
      </w:r>
    </w:p>
    <w:p w:rsidR="005A6BB3" w:rsidRDefault="005A6BB3" w:rsidP="005A6BB3">
      <w:pPr>
        <w:ind w:firstLine="567"/>
        <w:jc w:val="both"/>
      </w:pPr>
      <w:r w:rsidRPr="00C76D2B">
        <w:rPr>
          <w:b/>
        </w:rPr>
        <w:t>Следует отметить, что такой показател</w:t>
      </w:r>
      <w:r>
        <w:rPr>
          <w:b/>
        </w:rPr>
        <w:t>ь</w:t>
      </w:r>
      <w:r w:rsidRPr="00C76D2B">
        <w:rPr>
          <w:b/>
        </w:rPr>
        <w:t>, как «число действующих предприятий», в том числе по видам экономической деятельности в пр</w:t>
      </w:r>
      <w:r>
        <w:rPr>
          <w:b/>
        </w:rPr>
        <w:t>едставленном прогнозе отсутствуе</w:t>
      </w:r>
      <w:r w:rsidRPr="00C76D2B">
        <w:rPr>
          <w:b/>
        </w:rPr>
        <w:t>т</w:t>
      </w:r>
      <w:r>
        <w:t>.</w:t>
      </w:r>
    </w:p>
    <w:p w:rsidR="003C2375" w:rsidRPr="00BE16F2" w:rsidRDefault="00AD1332" w:rsidP="00D80372">
      <w:pPr>
        <w:ind w:firstLine="567"/>
        <w:jc w:val="both"/>
      </w:pPr>
      <w:r>
        <w:t xml:space="preserve">Численность постоянного населения по данным Службы государственной </w:t>
      </w:r>
      <w:r w:rsidR="000320F1">
        <w:t>статистики на</w:t>
      </w:r>
      <w:r>
        <w:t xml:space="preserve"> 01.01.2020 года составляет 111</w:t>
      </w:r>
      <w:r w:rsidR="000320F1">
        <w:t>0</w:t>
      </w:r>
      <w:r>
        <w:t xml:space="preserve"> человек, на 01.01.2021 год </w:t>
      </w:r>
      <w:r w:rsidR="000320F1">
        <w:t>–</w:t>
      </w:r>
      <w:r>
        <w:t xml:space="preserve"> </w:t>
      </w:r>
      <w:r w:rsidR="000320F1">
        <w:t xml:space="preserve">1100 </w:t>
      </w:r>
      <w:r w:rsidR="004B475D">
        <w:t>человек, а в Прогнозе отражена в количестве 1080 человек.</w:t>
      </w:r>
      <w:r w:rsidR="0050658D">
        <w:t xml:space="preserve"> Среднесписочная численность работников по полному кругу организаций по оценке 2021 года составит 184 чел., на плановый период 2022-2024гг. прогнозируется на уровне 2021 года, т.е. </w:t>
      </w:r>
      <w:r w:rsidR="0050658D" w:rsidRPr="006B3F65">
        <w:rPr>
          <w:b/>
          <w:u w:val="single"/>
        </w:rPr>
        <w:t>184 чел.</w:t>
      </w:r>
      <w:r w:rsidR="0050658D">
        <w:t xml:space="preserve"> ежегодно.</w:t>
      </w:r>
      <w:r w:rsidR="006B3F65">
        <w:t xml:space="preserve"> Однако при арифметическом подсчете среднесписочная численность работников по полному кругу организаций по оценке 2021 года и плановый период 2022-2024гг. составит </w:t>
      </w:r>
      <w:r w:rsidR="00F81BB4" w:rsidRPr="00F81BB4">
        <w:rPr>
          <w:b/>
          <w:u w:val="single"/>
        </w:rPr>
        <w:t>198 чел.</w:t>
      </w:r>
      <w:r w:rsidR="00BE16F2">
        <w:rPr>
          <w:b/>
          <w:u w:val="single"/>
        </w:rPr>
        <w:t xml:space="preserve"> </w:t>
      </w:r>
      <w:r w:rsidR="00BE16F2">
        <w:t>ежегодно.</w:t>
      </w:r>
    </w:p>
    <w:p w:rsidR="00F81BB4" w:rsidRDefault="00F81BB4" w:rsidP="00F81BB4">
      <w:pPr>
        <w:ind w:firstLine="567"/>
        <w:jc w:val="both"/>
      </w:pPr>
      <w:r w:rsidRPr="0041510B">
        <w:t xml:space="preserve">Уровень регистрируемой безработицы в поселении по </w:t>
      </w:r>
      <w:r>
        <w:t>оценке 2021 года составит 1</w:t>
      </w:r>
      <w:r w:rsidR="00264616">
        <w:t xml:space="preserve">,4% к трудоспособному населению, на </w:t>
      </w:r>
      <w:r w:rsidR="00225A9A">
        <w:t>2022г. прогнозируется</w:t>
      </w:r>
      <w:r w:rsidR="00264616">
        <w:t xml:space="preserve"> 1,5%, на 2023г. – 1,6%, на 2024г. – 1,8%.</w:t>
      </w:r>
    </w:p>
    <w:p w:rsidR="00F62429" w:rsidRDefault="00F81BB4" w:rsidP="00F62429">
      <w:pPr>
        <w:ind w:firstLine="567"/>
        <w:jc w:val="both"/>
      </w:pPr>
      <w:r w:rsidRPr="00B11576">
        <w:t>Среднемесячная начисленная заработная плата прогнозируется с ежегодным ростом</w:t>
      </w:r>
      <w:r>
        <w:t xml:space="preserve"> в пределах </w:t>
      </w:r>
      <w:r w:rsidR="00225A9A">
        <w:t>4,3</w:t>
      </w:r>
      <w:r>
        <w:t>%</w:t>
      </w:r>
      <w:r w:rsidRPr="00B11576">
        <w:t xml:space="preserve">. </w:t>
      </w:r>
      <w:r>
        <w:t>Ф</w:t>
      </w:r>
      <w:r w:rsidRPr="00B11576">
        <w:t>актическая средняя зарплата за 20</w:t>
      </w:r>
      <w:r w:rsidR="00225A9A">
        <w:t>20 г</w:t>
      </w:r>
      <w:r w:rsidRPr="00B11576">
        <w:t xml:space="preserve">од составила </w:t>
      </w:r>
      <w:r w:rsidR="00115F2E">
        <w:t>30,1</w:t>
      </w:r>
      <w:r w:rsidR="00225A9A">
        <w:t xml:space="preserve"> </w:t>
      </w:r>
      <w:r w:rsidRPr="00B11576">
        <w:t xml:space="preserve">тыс. руб., на </w:t>
      </w:r>
      <w:r>
        <w:t>202</w:t>
      </w:r>
      <w:r w:rsidR="00115F2E">
        <w:t xml:space="preserve">1 </w:t>
      </w:r>
      <w:r>
        <w:t xml:space="preserve">год ожидается </w:t>
      </w:r>
      <w:r w:rsidR="00115F2E">
        <w:t xml:space="preserve">31,4 </w:t>
      </w:r>
      <w:r w:rsidRPr="00B11576">
        <w:t xml:space="preserve">тыс. руб. (темп роста по отношению к предыдущему году </w:t>
      </w:r>
      <w:r>
        <w:t>10</w:t>
      </w:r>
      <w:r w:rsidR="00115F2E">
        <w:t>4,3</w:t>
      </w:r>
      <w:r w:rsidRPr="00B11576">
        <w:t xml:space="preserve">%), прогноз на </w:t>
      </w:r>
      <w:r>
        <w:t>202</w:t>
      </w:r>
      <w:r w:rsidR="00115F2E">
        <w:t xml:space="preserve">2 </w:t>
      </w:r>
      <w:r w:rsidRPr="00B11576">
        <w:t>год –</w:t>
      </w:r>
      <w:r w:rsidR="00115F2E">
        <w:t xml:space="preserve"> 32,7 </w:t>
      </w:r>
      <w:r w:rsidRPr="00B11576">
        <w:t xml:space="preserve">тыс. руб. (темп роста </w:t>
      </w:r>
      <w:r>
        <w:t>10</w:t>
      </w:r>
      <w:r w:rsidR="00115F2E">
        <w:t>4,1</w:t>
      </w:r>
      <w:r w:rsidRPr="00B11576">
        <w:t xml:space="preserve">%), на </w:t>
      </w:r>
      <w:r>
        <w:t>202</w:t>
      </w:r>
      <w:r w:rsidR="00115F2E">
        <w:t>3</w:t>
      </w:r>
      <w:r w:rsidRPr="00B11576">
        <w:t xml:space="preserve">год – </w:t>
      </w:r>
      <w:r w:rsidR="00115F2E">
        <w:t xml:space="preserve">34,1 </w:t>
      </w:r>
      <w:r w:rsidRPr="00B11576">
        <w:t xml:space="preserve">тыс. руб. (темп роста </w:t>
      </w:r>
      <w:r w:rsidR="00115F2E">
        <w:t>104,3</w:t>
      </w:r>
      <w:r w:rsidRPr="00B11576">
        <w:t xml:space="preserve">%), на </w:t>
      </w:r>
      <w:r w:rsidR="00115F2E">
        <w:t xml:space="preserve">2024 </w:t>
      </w:r>
      <w:r w:rsidRPr="00B11576">
        <w:t xml:space="preserve">год – </w:t>
      </w:r>
      <w:r w:rsidR="00115F2E">
        <w:t xml:space="preserve">35,5 </w:t>
      </w:r>
      <w:r w:rsidRPr="00B11576">
        <w:t xml:space="preserve">тыс. руб. (темп роста </w:t>
      </w:r>
      <w:r>
        <w:t>10</w:t>
      </w:r>
      <w:r w:rsidR="00F62429">
        <w:t>4,1</w:t>
      </w:r>
      <w:r w:rsidRPr="00B11576">
        <w:t xml:space="preserve">%).  </w:t>
      </w:r>
    </w:p>
    <w:p w:rsidR="001349AB" w:rsidRDefault="001349AB" w:rsidP="00D80372">
      <w:pPr>
        <w:jc w:val="center"/>
        <w:rPr>
          <w:b/>
        </w:rPr>
      </w:pPr>
    </w:p>
    <w:p w:rsidR="00D80372" w:rsidRPr="009C6AE8" w:rsidRDefault="00D80372" w:rsidP="00D80372">
      <w:pPr>
        <w:jc w:val="center"/>
        <w:rPr>
          <w:b/>
        </w:rPr>
      </w:pPr>
      <w:r>
        <w:rPr>
          <w:b/>
        </w:rPr>
        <w:lastRenderedPageBreak/>
        <w:t xml:space="preserve">3. Проект бюджета </w:t>
      </w:r>
      <w:proofErr w:type="spellStart"/>
      <w:r>
        <w:rPr>
          <w:b/>
        </w:rPr>
        <w:t>Каразейского</w:t>
      </w:r>
      <w:proofErr w:type="spellEnd"/>
      <w:r>
        <w:rPr>
          <w:b/>
        </w:rPr>
        <w:t xml:space="preserve"> муниципального образования </w:t>
      </w:r>
      <w:r w:rsidRPr="009C6AE8">
        <w:rPr>
          <w:b/>
        </w:rPr>
        <w:t xml:space="preserve">на </w:t>
      </w:r>
      <w:r w:rsidR="00F62429">
        <w:rPr>
          <w:b/>
        </w:rPr>
        <w:t>2022</w:t>
      </w:r>
      <w:r>
        <w:rPr>
          <w:b/>
        </w:rPr>
        <w:t xml:space="preserve"> </w:t>
      </w:r>
      <w:r w:rsidRPr="009C6AE8">
        <w:rPr>
          <w:b/>
        </w:rPr>
        <w:t>год</w:t>
      </w:r>
      <w:r>
        <w:rPr>
          <w:b/>
        </w:rPr>
        <w:t xml:space="preserve"> и на плановый период 202</w:t>
      </w:r>
      <w:r w:rsidR="00F62429">
        <w:rPr>
          <w:b/>
        </w:rPr>
        <w:t>3 и 2024</w:t>
      </w:r>
      <w:r>
        <w:rPr>
          <w:b/>
        </w:rPr>
        <w:t xml:space="preserve"> годов. </w:t>
      </w:r>
    </w:p>
    <w:p w:rsidR="00D80372" w:rsidRDefault="00D80372" w:rsidP="00D80372">
      <w:pPr>
        <w:ind w:firstLine="567"/>
        <w:jc w:val="both"/>
        <w:rPr>
          <w:color w:val="000000"/>
          <w:spacing w:val="-5"/>
        </w:rPr>
      </w:pPr>
      <w:r w:rsidRPr="00F8600A">
        <w:rPr>
          <w:color w:val="000000"/>
          <w:spacing w:val="-5"/>
        </w:rPr>
        <w:t xml:space="preserve">Формирование основных параметров </w:t>
      </w:r>
      <w:r>
        <w:rPr>
          <w:color w:val="000000"/>
          <w:spacing w:val="-5"/>
        </w:rPr>
        <w:t>местного</w:t>
      </w:r>
      <w:r w:rsidRPr="00F8600A">
        <w:rPr>
          <w:color w:val="000000"/>
          <w:spacing w:val="-5"/>
        </w:rPr>
        <w:t xml:space="preserve"> бюджета </w:t>
      </w:r>
      <w:proofErr w:type="spellStart"/>
      <w:r>
        <w:rPr>
          <w:color w:val="000000"/>
          <w:spacing w:val="-5"/>
        </w:rPr>
        <w:t>Каразейского</w:t>
      </w:r>
      <w:proofErr w:type="spellEnd"/>
      <w:r>
        <w:rPr>
          <w:color w:val="000000"/>
          <w:spacing w:val="-5"/>
        </w:rPr>
        <w:t xml:space="preserve"> поселения</w:t>
      </w:r>
      <w:r w:rsidRPr="00F8600A">
        <w:rPr>
          <w:color w:val="000000"/>
          <w:spacing w:val="-5"/>
        </w:rPr>
        <w:t xml:space="preserve"> на </w:t>
      </w:r>
      <w:r>
        <w:rPr>
          <w:color w:val="000000"/>
          <w:spacing w:val="-5"/>
        </w:rPr>
        <w:t>202</w:t>
      </w:r>
      <w:r w:rsidR="00F62429">
        <w:rPr>
          <w:color w:val="000000"/>
          <w:spacing w:val="-5"/>
        </w:rPr>
        <w:t>2</w:t>
      </w:r>
      <w:r w:rsidRPr="00F8600A">
        <w:rPr>
          <w:color w:val="000000"/>
          <w:spacing w:val="-5"/>
        </w:rPr>
        <w:t xml:space="preserve"> год и на плановый период </w:t>
      </w:r>
      <w:r>
        <w:rPr>
          <w:color w:val="000000"/>
          <w:spacing w:val="-5"/>
        </w:rPr>
        <w:t>202</w:t>
      </w:r>
      <w:r w:rsidR="00F62429">
        <w:rPr>
          <w:color w:val="000000"/>
          <w:spacing w:val="-5"/>
        </w:rPr>
        <w:t>3</w:t>
      </w:r>
      <w:r>
        <w:rPr>
          <w:color w:val="000000"/>
          <w:spacing w:val="-5"/>
        </w:rPr>
        <w:t xml:space="preserve"> и 202</w:t>
      </w:r>
      <w:r w:rsidR="00F62429">
        <w:rPr>
          <w:color w:val="000000"/>
          <w:spacing w:val="-5"/>
        </w:rPr>
        <w:t>4</w:t>
      </w:r>
      <w:r w:rsidRPr="00F8600A">
        <w:rPr>
          <w:color w:val="000000"/>
          <w:spacing w:val="-5"/>
        </w:rPr>
        <w:t xml:space="preserve"> годов осуществлено в соответствии с требованиями действующего бюджетного и</w:t>
      </w:r>
      <w:r>
        <w:rPr>
          <w:color w:val="000000"/>
          <w:spacing w:val="-5"/>
        </w:rPr>
        <w:t xml:space="preserve"> налогового законодательства,</w:t>
      </w:r>
      <w:r w:rsidRPr="00F8600A">
        <w:rPr>
          <w:color w:val="000000"/>
          <w:spacing w:val="-5"/>
        </w:rPr>
        <w:t xml:space="preserve"> также учтены ожидаемые параметры исполнения бюджета</w:t>
      </w:r>
      <w:r>
        <w:rPr>
          <w:color w:val="000000"/>
          <w:spacing w:val="-5"/>
        </w:rPr>
        <w:t xml:space="preserve"> поселения за 202</w:t>
      </w:r>
      <w:r w:rsidR="00F62429">
        <w:rPr>
          <w:color w:val="000000"/>
          <w:spacing w:val="-5"/>
        </w:rPr>
        <w:t>1</w:t>
      </w:r>
      <w:r>
        <w:rPr>
          <w:color w:val="000000"/>
          <w:spacing w:val="-5"/>
        </w:rPr>
        <w:t xml:space="preserve"> год. На очередной финансовый год и плановый период бюджет сформирован бездефицитный.</w:t>
      </w:r>
    </w:p>
    <w:p w:rsidR="00D80372" w:rsidRPr="00416AC5" w:rsidRDefault="00D80372" w:rsidP="00D80372">
      <w:pPr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ab/>
      </w:r>
      <w:r w:rsidRPr="00416AC5">
        <w:rPr>
          <w:color w:val="000000"/>
          <w:spacing w:val="-5"/>
        </w:rPr>
        <w:t xml:space="preserve">Основные параметры бюджета поселения на </w:t>
      </w:r>
      <w:r w:rsidR="00F62429">
        <w:rPr>
          <w:color w:val="000000"/>
          <w:spacing w:val="-5"/>
        </w:rPr>
        <w:t>2022</w:t>
      </w:r>
      <w:r w:rsidRPr="00416AC5">
        <w:rPr>
          <w:color w:val="000000"/>
          <w:spacing w:val="-5"/>
        </w:rPr>
        <w:t xml:space="preserve"> год и на плановый период сформированы в следующих объемах и представлены в таблице </w:t>
      </w:r>
      <w:r>
        <w:rPr>
          <w:color w:val="000000"/>
          <w:spacing w:val="-5"/>
        </w:rPr>
        <w:t>1</w:t>
      </w:r>
      <w:r w:rsidRPr="00416AC5">
        <w:rPr>
          <w:color w:val="000000"/>
          <w:spacing w:val="-5"/>
        </w:rPr>
        <w:t>.</w:t>
      </w:r>
    </w:p>
    <w:p w:rsidR="00D80372" w:rsidRPr="00416AC5" w:rsidRDefault="00D80372" w:rsidP="00D80372">
      <w:pPr>
        <w:ind w:left="4956" w:firstLine="708"/>
        <w:jc w:val="both"/>
        <w:rPr>
          <w:color w:val="000000"/>
          <w:spacing w:val="-5"/>
        </w:rPr>
      </w:pPr>
      <w:r w:rsidRPr="00416AC5">
        <w:rPr>
          <w:color w:val="000000"/>
          <w:spacing w:val="-5"/>
        </w:rPr>
        <w:t xml:space="preserve">                     Таблица №</w:t>
      </w:r>
      <w:r>
        <w:rPr>
          <w:color w:val="000000"/>
          <w:spacing w:val="-5"/>
        </w:rPr>
        <w:t>1</w:t>
      </w:r>
      <w:r w:rsidRPr="00416AC5">
        <w:rPr>
          <w:color w:val="000000"/>
          <w:spacing w:val="-5"/>
        </w:rPr>
        <w:t>, тыс. рублей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843"/>
      </w:tblGrid>
      <w:tr w:rsidR="00D80372" w:rsidRPr="00416AC5" w:rsidTr="000C5254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72" w:rsidRPr="00416AC5" w:rsidRDefault="00D80372" w:rsidP="000C5254">
            <w:pPr>
              <w:ind w:firstLine="142"/>
              <w:jc w:val="center"/>
              <w:rPr>
                <w:b/>
                <w:color w:val="000000"/>
                <w:spacing w:val="-5"/>
              </w:rPr>
            </w:pPr>
            <w:r w:rsidRPr="00416AC5">
              <w:rPr>
                <w:b/>
                <w:color w:val="000000"/>
                <w:spacing w:val="-5"/>
              </w:rPr>
              <w:t>Основные параметры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72" w:rsidRPr="00416AC5" w:rsidRDefault="00F62429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2022</w:t>
            </w:r>
            <w:r w:rsidR="00D80372" w:rsidRPr="00416AC5">
              <w:rPr>
                <w:b/>
                <w:color w:val="000000"/>
                <w:spacing w:val="-5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72" w:rsidRPr="00416AC5" w:rsidRDefault="00D80372" w:rsidP="00F62429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202</w:t>
            </w:r>
            <w:r w:rsidR="00F62429">
              <w:rPr>
                <w:b/>
                <w:color w:val="000000"/>
                <w:spacing w:val="-5"/>
              </w:rPr>
              <w:t>3</w:t>
            </w:r>
            <w:r w:rsidR="00234580">
              <w:rPr>
                <w:b/>
                <w:color w:val="000000"/>
                <w:spacing w:val="-5"/>
              </w:rPr>
              <w:t xml:space="preserve"> </w:t>
            </w:r>
            <w:r w:rsidRPr="00416AC5">
              <w:rPr>
                <w:b/>
                <w:color w:val="000000"/>
                <w:spacing w:val="-5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372" w:rsidRPr="00416AC5" w:rsidRDefault="00F62429" w:rsidP="00F62429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2024</w:t>
            </w:r>
            <w:r w:rsidR="00234580">
              <w:rPr>
                <w:b/>
                <w:color w:val="000000"/>
                <w:spacing w:val="-5"/>
              </w:rPr>
              <w:t xml:space="preserve"> </w:t>
            </w:r>
            <w:r w:rsidR="00D80372" w:rsidRPr="00416AC5">
              <w:rPr>
                <w:b/>
                <w:color w:val="000000"/>
                <w:spacing w:val="-5"/>
              </w:rPr>
              <w:t>год</w:t>
            </w:r>
          </w:p>
        </w:tc>
      </w:tr>
      <w:tr w:rsidR="00D80372" w:rsidRPr="00416AC5" w:rsidTr="000C5254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 w:rsidRPr="00416AC5">
              <w:rPr>
                <w:b/>
                <w:color w:val="000000"/>
                <w:spacing w:val="-5"/>
                <w:sz w:val="22"/>
                <w:szCs w:val="22"/>
              </w:rPr>
              <w:t xml:space="preserve">Доходы, </w:t>
            </w:r>
            <w:r w:rsidRPr="00416AC5">
              <w:rPr>
                <w:color w:val="000000"/>
                <w:spacing w:val="-5"/>
                <w:sz w:val="22"/>
                <w:szCs w:val="22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075FF4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12461,8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C84133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9714,7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34580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15987,1</w:t>
            </w:r>
          </w:p>
        </w:tc>
      </w:tr>
      <w:tr w:rsidR="00D80372" w:rsidRPr="00416AC5" w:rsidTr="000C5254">
        <w:trPr>
          <w:trHeight w:val="2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proofErr w:type="gramStart"/>
            <w:r w:rsidRPr="00416AC5">
              <w:rPr>
                <w:color w:val="000000"/>
                <w:spacing w:val="-5"/>
                <w:sz w:val="22"/>
                <w:szCs w:val="22"/>
              </w:rPr>
              <w:t>налоговые</w:t>
            </w:r>
            <w:proofErr w:type="gramEnd"/>
            <w:r w:rsidRPr="00416AC5">
              <w:rPr>
                <w:color w:val="000000"/>
                <w:spacing w:val="-5"/>
                <w:sz w:val="22"/>
                <w:szCs w:val="22"/>
              </w:rPr>
              <w:t xml:space="preserve">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075FF4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3647,8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C84133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3711,0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34580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3814,8</w:t>
            </w:r>
          </w:p>
        </w:tc>
      </w:tr>
      <w:tr w:rsidR="00D80372" w:rsidRPr="00416AC5" w:rsidTr="000C5254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proofErr w:type="gramStart"/>
            <w:r w:rsidRPr="00416AC5">
              <w:rPr>
                <w:color w:val="000000"/>
                <w:spacing w:val="-5"/>
                <w:sz w:val="22"/>
                <w:szCs w:val="22"/>
              </w:rPr>
              <w:t>межбюджетные</w:t>
            </w:r>
            <w:proofErr w:type="gramEnd"/>
            <w:r w:rsidRPr="00416AC5">
              <w:rPr>
                <w:color w:val="000000"/>
                <w:spacing w:val="-5"/>
                <w:sz w:val="22"/>
                <w:szCs w:val="22"/>
              </w:rPr>
              <w:t xml:space="preserve">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075FF4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8814,0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C84133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6003,7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34580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12172,3</w:t>
            </w:r>
          </w:p>
        </w:tc>
      </w:tr>
      <w:tr w:rsidR="00D80372" w:rsidRPr="00416AC5" w:rsidTr="000C5254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 w:rsidRPr="00416AC5">
              <w:rPr>
                <w:b/>
                <w:color w:val="000000"/>
                <w:spacing w:val="-5"/>
                <w:sz w:val="22"/>
                <w:szCs w:val="22"/>
              </w:rPr>
              <w:t>Расходы,</w:t>
            </w:r>
            <w:r w:rsidRPr="00416AC5">
              <w:rPr>
                <w:color w:val="000000"/>
                <w:spacing w:val="-5"/>
                <w:sz w:val="22"/>
                <w:szCs w:val="22"/>
              </w:rPr>
              <w:t xml:space="preserve">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075FF4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12461,8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C84133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9714,7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34580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15987,1</w:t>
            </w:r>
          </w:p>
        </w:tc>
      </w:tr>
      <w:tr w:rsidR="00D80372" w:rsidRPr="00416AC5" w:rsidTr="000C5254">
        <w:trPr>
          <w:trHeight w:val="2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proofErr w:type="gramStart"/>
            <w:r w:rsidRPr="00416AC5">
              <w:rPr>
                <w:color w:val="000000"/>
                <w:spacing w:val="-5"/>
                <w:sz w:val="22"/>
                <w:szCs w:val="22"/>
              </w:rPr>
              <w:t>условно</w:t>
            </w:r>
            <w:proofErr w:type="gramEnd"/>
            <w:r w:rsidRPr="00416AC5">
              <w:rPr>
                <w:color w:val="000000"/>
                <w:spacing w:val="-5"/>
                <w:sz w:val="22"/>
                <w:szCs w:val="22"/>
              </w:rPr>
              <w:t xml:space="preserve"> утверждаемые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D80372" w:rsidP="00C84133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2</w:t>
            </w:r>
            <w:r w:rsidR="00C84133">
              <w:rPr>
                <w:color w:val="000000"/>
                <w:spacing w:val="-5"/>
              </w:rPr>
              <w:t>32,2</w:t>
            </w:r>
            <w:r>
              <w:rPr>
                <w:color w:val="000000"/>
                <w:spacing w:val="-5"/>
              </w:rPr>
              <w:t xml:space="preserve"> (</w:t>
            </w:r>
            <w:r w:rsidRPr="000F6A81">
              <w:rPr>
                <w:color w:val="000000"/>
                <w:spacing w:val="-5"/>
              </w:rPr>
              <w:t>2,</w:t>
            </w:r>
            <w:r>
              <w:rPr>
                <w:color w:val="000000"/>
                <w:spacing w:val="-5"/>
              </w:rPr>
              <w:t>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537E51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777,7</w:t>
            </w:r>
            <w:r w:rsidR="00D80372">
              <w:rPr>
                <w:color w:val="000000"/>
                <w:spacing w:val="-5"/>
              </w:rPr>
              <w:t xml:space="preserve"> (</w:t>
            </w:r>
            <w:r w:rsidR="00D80372" w:rsidRPr="000F6A81">
              <w:rPr>
                <w:color w:val="000000"/>
                <w:spacing w:val="-5"/>
              </w:rPr>
              <w:t>5</w:t>
            </w:r>
            <w:r w:rsidR="00D80372">
              <w:rPr>
                <w:color w:val="000000"/>
                <w:spacing w:val="-5"/>
              </w:rPr>
              <w:t>)</w:t>
            </w:r>
          </w:p>
        </w:tc>
      </w:tr>
      <w:tr w:rsidR="00D80372" w:rsidRPr="00416AC5" w:rsidTr="000C5254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 w:rsidRPr="00416AC5">
              <w:rPr>
                <w:b/>
                <w:color w:val="000000"/>
                <w:spacing w:val="-5"/>
                <w:sz w:val="22"/>
                <w:szCs w:val="22"/>
              </w:rPr>
              <w:t>Дефицит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</w:tr>
      <w:tr w:rsidR="00D80372" w:rsidRPr="00416AC5" w:rsidTr="000C5254"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372" w:rsidRPr="00416AC5" w:rsidRDefault="00D80372" w:rsidP="000C5254">
            <w:pPr>
              <w:ind w:firstLine="142"/>
              <w:jc w:val="both"/>
              <w:rPr>
                <w:color w:val="000000"/>
                <w:spacing w:val="-5"/>
              </w:rPr>
            </w:pPr>
            <w:r w:rsidRPr="00416AC5">
              <w:rPr>
                <w:b/>
                <w:color w:val="000000"/>
                <w:spacing w:val="-5"/>
                <w:sz w:val="22"/>
                <w:szCs w:val="22"/>
              </w:rPr>
              <w:t>Верхний предел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D80372" w:rsidP="000C5254">
            <w:pPr>
              <w:ind w:firstLine="142"/>
              <w:jc w:val="both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>0</w:t>
            </w:r>
          </w:p>
        </w:tc>
      </w:tr>
    </w:tbl>
    <w:p w:rsidR="00CB4F67" w:rsidRDefault="00E2024B" w:rsidP="00D80372">
      <w:pPr>
        <w:ind w:firstLine="567"/>
        <w:jc w:val="both"/>
      </w:pPr>
      <w:r w:rsidRPr="00185BF7">
        <w:t>Пунктом 5</w:t>
      </w:r>
      <w:r w:rsidR="001E040F" w:rsidRPr="00185BF7">
        <w:t xml:space="preserve"> </w:t>
      </w:r>
      <w:r w:rsidRPr="00260BBB">
        <w:rPr>
          <w:b/>
          <w:u w:val="single"/>
        </w:rPr>
        <w:t>текстовой части проекта бюджета</w:t>
      </w:r>
      <w:r w:rsidRPr="00185BF7">
        <w:t xml:space="preserve"> </w:t>
      </w:r>
      <w:r w:rsidR="00341842" w:rsidRPr="006763AB">
        <w:rPr>
          <w:b/>
        </w:rPr>
        <w:t>предлагается утвердить перечень главных администраторов доходов бюджета поселения.</w:t>
      </w:r>
      <w:r w:rsidR="00341842" w:rsidRPr="00185BF7">
        <w:t xml:space="preserve"> </w:t>
      </w:r>
      <w:r w:rsidR="00995ECC">
        <w:t xml:space="preserve">Однако, </w:t>
      </w:r>
      <w:r w:rsidR="00CB4F67" w:rsidRPr="00CB4F67">
        <w:rPr>
          <w:b/>
        </w:rPr>
        <w:t>в связи с внесен</w:t>
      </w:r>
      <w:r w:rsidR="00CB4F67">
        <w:rPr>
          <w:b/>
        </w:rPr>
        <w:t>ными изменениями Федеральным зак</w:t>
      </w:r>
      <w:r w:rsidR="0011485C">
        <w:rPr>
          <w:b/>
        </w:rPr>
        <w:t>оном от 1 июля 2021 № 251-ФЗ в Б</w:t>
      </w:r>
      <w:r w:rsidR="00CB4F67">
        <w:rPr>
          <w:b/>
        </w:rPr>
        <w:t xml:space="preserve">юджетный </w:t>
      </w:r>
      <w:r w:rsidR="002C31C3">
        <w:rPr>
          <w:b/>
        </w:rPr>
        <w:t xml:space="preserve">кодекс, </w:t>
      </w:r>
      <w:r w:rsidR="00C46A9D" w:rsidRPr="006763AB">
        <w:rPr>
          <w:b/>
        </w:rPr>
        <w:t xml:space="preserve">перечень главных администраторов доходов местного бюджета </w:t>
      </w:r>
      <w:r w:rsidR="00C46A9D" w:rsidRPr="00260BBB">
        <w:rPr>
          <w:b/>
          <w:u w:val="single"/>
        </w:rPr>
        <w:t>утверждается местной администрацией</w:t>
      </w:r>
      <w:r w:rsidR="00FE0BC2" w:rsidRPr="006763AB">
        <w:rPr>
          <w:b/>
        </w:rPr>
        <w:t xml:space="preserve"> в соответствии с общими требованиями</w:t>
      </w:r>
      <w:r w:rsidR="00185BF7" w:rsidRPr="006763AB">
        <w:rPr>
          <w:b/>
        </w:rPr>
        <w:t>,</w:t>
      </w:r>
      <w:r w:rsidR="00FE0BC2" w:rsidRPr="006763AB">
        <w:rPr>
          <w:b/>
        </w:rPr>
        <w:t xml:space="preserve"> </w:t>
      </w:r>
      <w:r w:rsidR="00185BF7" w:rsidRPr="006763AB">
        <w:rPr>
          <w:b/>
        </w:rPr>
        <w:t>установленными постановлением Правительства Российской Федерации от 16.09.2021г. №1</w:t>
      </w:r>
      <w:r w:rsidR="000043C4">
        <w:rPr>
          <w:b/>
        </w:rPr>
        <w:t>569</w:t>
      </w:r>
      <w:r w:rsidR="00185BF7" w:rsidRPr="00185BF7">
        <w:t>.</w:t>
      </w:r>
    </w:p>
    <w:p w:rsidR="00D80372" w:rsidRDefault="00185BF7" w:rsidP="00D80372">
      <w:pPr>
        <w:ind w:firstLine="567"/>
        <w:jc w:val="both"/>
      </w:pPr>
      <w:r>
        <w:t>В</w:t>
      </w:r>
      <w:r w:rsidR="00D80372">
        <w:t xml:space="preserve"> </w:t>
      </w:r>
      <w:r w:rsidR="00D80372" w:rsidRPr="00547510">
        <w:t xml:space="preserve">соответствии с п.3 ст. 81 БК РФ текстовой частью решения о бюджете установлен резервный фонд администрации </w:t>
      </w:r>
      <w:proofErr w:type="spellStart"/>
      <w:r w:rsidR="00D80372">
        <w:t>Каразейского</w:t>
      </w:r>
      <w:proofErr w:type="spellEnd"/>
      <w:r w:rsidR="00D80372" w:rsidRPr="00547510">
        <w:t xml:space="preserve"> МО на каждый год планового периода в размере по </w:t>
      </w:r>
      <w:r w:rsidR="00D80372">
        <w:t>10</w:t>
      </w:r>
      <w:r w:rsidR="00E818E2">
        <w:t xml:space="preserve"> </w:t>
      </w:r>
      <w:r w:rsidR="00D80372" w:rsidRPr="00547510">
        <w:t>тыс. руб., что не превышает ограничений, установленных Бюджетным Кодексом (3% общего объема расходов). Устанавливаемый резервный фонд составляет 0,</w:t>
      </w:r>
      <w:r w:rsidR="00D80372">
        <w:t>1</w:t>
      </w:r>
      <w:r w:rsidR="00D80372" w:rsidRPr="00547510">
        <w:t>% общего объема ежегодных расходов местного бюджета.</w:t>
      </w:r>
    </w:p>
    <w:p w:rsidR="00D80372" w:rsidRDefault="00D80372" w:rsidP="00D80372">
      <w:pPr>
        <w:ind w:firstLine="567"/>
        <w:jc w:val="both"/>
      </w:pPr>
      <w:r>
        <w:t>Пунктом 14 текстовой части проекта бюджета предлагается утвердить объем бюджетных ассигнований дорожного фонда муниципального образования на 202</w:t>
      </w:r>
      <w:r w:rsidR="00A14B2A">
        <w:t>2</w:t>
      </w:r>
      <w:r>
        <w:t xml:space="preserve"> год и на плановый период 202</w:t>
      </w:r>
      <w:r w:rsidR="00A14B2A">
        <w:t>3-2024</w:t>
      </w:r>
      <w:r>
        <w:t>гг. в размере прогнозируемых в соответствующем п</w:t>
      </w:r>
      <w:r w:rsidR="00B73A26">
        <w:t>ериоде акцизов на нефтепродукты: на 2022г. – 1167,4 тыс. руб., на 2023г. – 1223,7 тыс. руб., на 2024г. – 1321,6 тыс. руб.</w:t>
      </w:r>
    </w:p>
    <w:p w:rsidR="00D80372" w:rsidRDefault="00D80372" w:rsidP="00B73A26">
      <w:pPr>
        <w:ind w:firstLine="567"/>
        <w:jc w:val="both"/>
      </w:pPr>
      <w:r w:rsidRPr="00E332A3">
        <w:t xml:space="preserve">Пунктом </w:t>
      </w:r>
      <w:r>
        <w:t>1</w:t>
      </w:r>
      <w:r w:rsidR="00A14B2A">
        <w:t>7</w:t>
      </w:r>
      <w:r>
        <w:t xml:space="preserve"> проекта </w:t>
      </w:r>
      <w:r w:rsidRPr="00C942EC">
        <w:t>решения о бюджете утвержд</w:t>
      </w:r>
      <w:r>
        <w:t>ается</w:t>
      </w:r>
      <w:r w:rsidRPr="00C942EC">
        <w:t xml:space="preserve"> программа муниципальных внутренних заимствований на </w:t>
      </w:r>
      <w:r>
        <w:t>202</w:t>
      </w:r>
      <w:r w:rsidR="00A14B2A">
        <w:t>2</w:t>
      </w:r>
      <w:r>
        <w:t xml:space="preserve"> год и плановый период 202</w:t>
      </w:r>
      <w:r w:rsidR="00A14B2A">
        <w:t>3</w:t>
      </w:r>
      <w:r>
        <w:t xml:space="preserve"> и 202</w:t>
      </w:r>
      <w:r w:rsidR="00A14B2A">
        <w:t>4</w:t>
      </w:r>
      <w:r>
        <w:t xml:space="preserve"> годов</w:t>
      </w:r>
      <w:r w:rsidRPr="00C942EC">
        <w:t xml:space="preserve"> </w:t>
      </w:r>
      <w:proofErr w:type="spellStart"/>
      <w:r>
        <w:t>Каразейского</w:t>
      </w:r>
      <w:proofErr w:type="spellEnd"/>
      <w:r w:rsidRPr="00C942EC">
        <w:t xml:space="preserve"> муниципального образования</w:t>
      </w:r>
      <w:r>
        <w:t xml:space="preserve">, из которой следует, что </w:t>
      </w:r>
      <w:r w:rsidR="005D43E8">
        <w:t>муниципальный долг на 01.01.2022</w:t>
      </w:r>
      <w:r>
        <w:t xml:space="preserve">г. отсутствует и привлекать заимствования не предполагается. </w:t>
      </w:r>
    </w:p>
    <w:p w:rsidR="00D80372" w:rsidRDefault="00D80372" w:rsidP="00D80372">
      <w:pPr>
        <w:ind w:firstLine="540"/>
        <w:jc w:val="both"/>
      </w:pPr>
      <w:r>
        <w:t>В целом показатели проекта решения о бюджете соответствуют</w:t>
      </w:r>
      <w:r w:rsidRPr="00DC7904">
        <w:t xml:space="preserve">   установленным БК РФ принципам</w:t>
      </w:r>
      <w:r>
        <w:t xml:space="preserve"> сбалансированности бюджета (ст.33 БК РФ) и общего (совокупного) покрытия расходов бюджетов (ст.35 БК РФ). Бюджет сформирован бездефицитный. </w:t>
      </w:r>
      <w:r w:rsidRPr="00834F9E">
        <w:t xml:space="preserve">Верхний предел муниципального долга </w:t>
      </w:r>
      <w:proofErr w:type="spellStart"/>
      <w:r>
        <w:t>Каразейского</w:t>
      </w:r>
      <w:proofErr w:type="spellEnd"/>
      <w:r w:rsidRPr="00834F9E">
        <w:t xml:space="preserve"> МО на 01.01.</w:t>
      </w:r>
      <w:r w:rsidR="00FE0BC2">
        <w:t>2023</w:t>
      </w:r>
      <w:r w:rsidRPr="00834F9E">
        <w:t>г.</w:t>
      </w:r>
      <w:r w:rsidR="00FE0BC2">
        <w:t>, на 01.01.2024г., на 01.01.2025</w:t>
      </w:r>
      <w:r>
        <w:t>г.</w:t>
      </w:r>
      <w:r w:rsidRPr="00834F9E">
        <w:t xml:space="preserve"> предусмотрен </w:t>
      </w:r>
      <w:r>
        <w:t xml:space="preserve">нулевой. </w:t>
      </w:r>
      <w:r w:rsidRPr="00834F9E">
        <w:t xml:space="preserve">Требования к размеру резервного фонда администрации поселения соблюдены (п. 3 ст. 81 БК РФ), объему бюджетных ассигнований Дорожного фонда поселения соблюдены (п. </w:t>
      </w:r>
      <w:r>
        <w:t>5</w:t>
      </w:r>
      <w:r w:rsidRPr="00834F9E">
        <w:t xml:space="preserve"> ст</w:t>
      </w:r>
      <w:r>
        <w:t>. 179.4 БК РФ).</w:t>
      </w:r>
    </w:p>
    <w:p w:rsidR="00D80372" w:rsidRDefault="00D80372" w:rsidP="00D80372">
      <w:pPr>
        <w:jc w:val="center"/>
        <w:rPr>
          <w:b/>
        </w:rPr>
      </w:pPr>
    </w:p>
    <w:p w:rsidR="00D80372" w:rsidRPr="00F97F63" w:rsidRDefault="00D80372" w:rsidP="00D80372">
      <w:pPr>
        <w:jc w:val="center"/>
        <w:rPr>
          <w:b/>
        </w:rPr>
      </w:pPr>
      <w:r>
        <w:rPr>
          <w:b/>
        </w:rPr>
        <w:t>3</w:t>
      </w:r>
      <w:r w:rsidRPr="009C6AE8">
        <w:rPr>
          <w:b/>
        </w:rPr>
        <w:t xml:space="preserve">.1. </w:t>
      </w:r>
      <w:r w:rsidRPr="00F97F63">
        <w:rPr>
          <w:b/>
        </w:rPr>
        <w:t xml:space="preserve">Характеристика проекта бюджета </w:t>
      </w:r>
      <w:proofErr w:type="spellStart"/>
      <w:r>
        <w:rPr>
          <w:b/>
        </w:rPr>
        <w:t>Каразейского</w:t>
      </w:r>
      <w:proofErr w:type="spellEnd"/>
      <w:r>
        <w:rPr>
          <w:b/>
        </w:rPr>
        <w:t xml:space="preserve"> </w:t>
      </w:r>
      <w:r w:rsidRPr="00F97F63">
        <w:rPr>
          <w:b/>
        </w:rPr>
        <w:t>МО по доходам</w:t>
      </w:r>
    </w:p>
    <w:p w:rsidR="00D80372" w:rsidRDefault="00D80372" w:rsidP="00D80372">
      <w:pPr>
        <w:jc w:val="center"/>
        <w:rPr>
          <w:b/>
        </w:rPr>
      </w:pPr>
      <w:proofErr w:type="gramStart"/>
      <w:r w:rsidRPr="00F97F63">
        <w:rPr>
          <w:b/>
        </w:rPr>
        <w:t>на</w:t>
      </w:r>
      <w:proofErr w:type="gramEnd"/>
      <w:r w:rsidRPr="00F97F63">
        <w:rPr>
          <w:b/>
        </w:rPr>
        <w:t xml:space="preserve"> </w:t>
      </w:r>
      <w:r w:rsidR="001D2DB7">
        <w:rPr>
          <w:b/>
        </w:rPr>
        <w:t>2022</w:t>
      </w:r>
      <w:r w:rsidRPr="00F97F63">
        <w:rPr>
          <w:b/>
        </w:rPr>
        <w:t xml:space="preserve"> год и плановый период  </w:t>
      </w:r>
      <w:r w:rsidR="001D2DB7">
        <w:rPr>
          <w:b/>
        </w:rPr>
        <w:t>2023</w:t>
      </w:r>
      <w:r w:rsidRPr="00F97F63">
        <w:rPr>
          <w:b/>
        </w:rPr>
        <w:t>-</w:t>
      </w:r>
      <w:r w:rsidR="001D2DB7">
        <w:rPr>
          <w:b/>
        </w:rPr>
        <w:t>2024</w:t>
      </w:r>
      <w:r w:rsidRPr="00F97F63">
        <w:rPr>
          <w:b/>
        </w:rPr>
        <w:t>гг.</w:t>
      </w:r>
    </w:p>
    <w:p w:rsidR="00D80372" w:rsidRPr="000C6D6B" w:rsidRDefault="00D80372" w:rsidP="00D80372">
      <w:pPr>
        <w:ind w:firstLine="567"/>
        <w:jc w:val="both"/>
      </w:pPr>
      <w:r>
        <w:t>Формирование доходной части бюджета му</w:t>
      </w:r>
      <w:r w:rsidR="001D2DB7">
        <w:t>ниципального образования на 2022 год и на плановый период 2023 и 2024</w:t>
      </w:r>
      <w:r>
        <w:t xml:space="preserve"> годов осуществлено с учетом ожидаемых поступлений</w:t>
      </w:r>
      <w:r w:rsidR="001D2DB7">
        <w:t xml:space="preserve"> налогов и других платежей в 20</w:t>
      </w:r>
      <w:r w:rsidR="00B73A26">
        <w:t>2</w:t>
      </w:r>
      <w:r w:rsidR="001D2DB7">
        <w:t>1</w:t>
      </w:r>
      <w:r>
        <w:t xml:space="preserve"> году. </w:t>
      </w:r>
    </w:p>
    <w:p w:rsidR="00D80372" w:rsidRDefault="00D80372" w:rsidP="00D80372">
      <w:pPr>
        <w:jc w:val="both"/>
      </w:pPr>
      <w:r>
        <w:lastRenderedPageBreak/>
        <w:tab/>
        <w:t>Основные характ</w:t>
      </w:r>
      <w:r w:rsidR="001D2DB7">
        <w:t>еристики доходов бюджета на 2022-2024</w:t>
      </w:r>
      <w:r>
        <w:t xml:space="preserve"> годов представлены в таблице № 2.</w:t>
      </w:r>
    </w:p>
    <w:p w:rsidR="00D80372" w:rsidRDefault="00D80372" w:rsidP="00D8037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№ 2, тыс. руб.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992"/>
        <w:gridCol w:w="1134"/>
        <w:gridCol w:w="992"/>
        <w:gridCol w:w="993"/>
        <w:gridCol w:w="1134"/>
        <w:gridCol w:w="1134"/>
        <w:gridCol w:w="1134"/>
      </w:tblGrid>
      <w:tr w:rsidR="00D80372" w:rsidRPr="00416AC5" w:rsidTr="000C5254">
        <w:trPr>
          <w:trHeight w:val="7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5868B8" w:rsidRDefault="00D80372" w:rsidP="000C5254">
            <w:pPr>
              <w:jc w:val="center"/>
              <w:rPr>
                <w:b/>
                <w:sz w:val="20"/>
                <w:szCs w:val="20"/>
              </w:rPr>
            </w:pPr>
          </w:p>
          <w:p w:rsidR="00D80372" w:rsidRPr="005868B8" w:rsidRDefault="00D80372" w:rsidP="000C5254">
            <w:pPr>
              <w:jc w:val="center"/>
              <w:rPr>
                <w:b/>
                <w:sz w:val="20"/>
                <w:szCs w:val="20"/>
              </w:rPr>
            </w:pPr>
            <w:r w:rsidRPr="005868B8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5868B8" w:rsidRDefault="00D80372" w:rsidP="000C5254">
            <w:pPr>
              <w:jc w:val="center"/>
              <w:rPr>
                <w:b/>
                <w:sz w:val="18"/>
                <w:szCs w:val="18"/>
              </w:rPr>
            </w:pPr>
          </w:p>
          <w:p w:rsidR="00D80372" w:rsidRPr="005868B8" w:rsidRDefault="00D80372" w:rsidP="000C5254">
            <w:pPr>
              <w:jc w:val="center"/>
              <w:rPr>
                <w:b/>
                <w:sz w:val="18"/>
                <w:szCs w:val="18"/>
              </w:rPr>
            </w:pPr>
            <w:r w:rsidRPr="005868B8">
              <w:rPr>
                <w:b/>
                <w:sz w:val="18"/>
                <w:szCs w:val="18"/>
              </w:rPr>
              <w:t xml:space="preserve">Оценка </w:t>
            </w:r>
            <w:r w:rsidR="00BA1FCD">
              <w:rPr>
                <w:b/>
                <w:sz w:val="18"/>
                <w:szCs w:val="18"/>
              </w:rPr>
              <w:t>2021</w:t>
            </w:r>
          </w:p>
          <w:p w:rsidR="00D80372" w:rsidRPr="005868B8" w:rsidRDefault="00D80372" w:rsidP="000C52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5868B8" w:rsidRDefault="00D80372" w:rsidP="00BA1FCD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868B8">
              <w:rPr>
                <w:b/>
                <w:sz w:val="18"/>
                <w:szCs w:val="18"/>
              </w:rPr>
              <w:t xml:space="preserve">Проект </w:t>
            </w:r>
            <w:r>
              <w:rPr>
                <w:b/>
                <w:sz w:val="18"/>
                <w:szCs w:val="18"/>
              </w:rPr>
              <w:t>202</w:t>
            </w:r>
            <w:r w:rsidR="00BA1FC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Default="00D80372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BA1FCD">
              <w:rPr>
                <w:b/>
                <w:sz w:val="18"/>
                <w:szCs w:val="18"/>
              </w:rPr>
              <w:t>2</w:t>
            </w:r>
            <w:r w:rsidRPr="005868B8">
              <w:rPr>
                <w:b/>
                <w:sz w:val="18"/>
                <w:szCs w:val="18"/>
              </w:rPr>
              <w:t>/</w:t>
            </w:r>
          </w:p>
          <w:p w:rsidR="00D80372" w:rsidRDefault="00BA1FCD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 w:rsidR="00D80372" w:rsidRPr="005868B8" w:rsidRDefault="00D80372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868B8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5868B8" w:rsidRDefault="00D80372" w:rsidP="000C52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5868B8">
              <w:rPr>
                <w:b/>
                <w:sz w:val="18"/>
                <w:szCs w:val="18"/>
              </w:rPr>
              <w:t xml:space="preserve">Прогноз  </w:t>
            </w:r>
            <w:r w:rsidR="00BA1FCD">
              <w:rPr>
                <w:b/>
                <w:sz w:val="18"/>
                <w:szCs w:val="18"/>
              </w:rPr>
              <w:t>2023</w:t>
            </w:r>
            <w:proofErr w:type="gramEnd"/>
            <w:r w:rsidRPr="005868B8">
              <w:rPr>
                <w:b/>
                <w:sz w:val="18"/>
                <w:szCs w:val="18"/>
              </w:rPr>
              <w:t xml:space="preserve">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Default="00BA1FCD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  <w:r w:rsidR="00D80372" w:rsidRPr="005868B8">
              <w:rPr>
                <w:b/>
                <w:sz w:val="18"/>
                <w:szCs w:val="18"/>
              </w:rPr>
              <w:t>/</w:t>
            </w:r>
          </w:p>
          <w:p w:rsidR="00D80372" w:rsidRDefault="00D80372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BA1FCD">
              <w:rPr>
                <w:b/>
                <w:sz w:val="18"/>
                <w:szCs w:val="18"/>
              </w:rPr>
              <w:t>2</w:t>
            </w:r>
          </w:p>
          <w:p w:rsidR="00D80372" w:rsidRPr="005868B8" w:rsidRDefault="00D80372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868B8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5868B8" w:rsidRDefault="00D80372" w:rsidP="000C5254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5868B8">
              <w:rPr>
                <w:b/>
                <w:sz w:val="18"/>
                <w:szCs w:val="18"/>
              </w:rPr>
              <w:t xml:space="preserve">Прогноз </w:t>
            </w:r>
            <w:r w:rsidR="00BA1FCD">
              <w:rPr>
                <w:b/>
                <w:sz w:val="18"/>
                <w:szCs w:val="18"/>
              </w:rPr>
              <w:t>2024</w:t>
            </w:r>
            <w:r w:rsidRPr="005868B8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Default="00D80372" w:rsidP="000C52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BA1FCD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/</w:t>
            </w:r>
          </w:p>
          <w:p w:rsidR="00D80372" w:rsidRDefault="00D80372" w:rsidP="000C52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BA1FCD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D80372" w:rsidRPr="005868B8" w:rsidRDefault="00D80372" w:rsidP="000C52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</w:tr>
      <w:tr w:rsidR="00D80372" w:rsidRPr="00416AC5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 w:rsidRPr="00416AC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80372" w:rsidRPr="00416AC5" w:rsidTr="000C5254">
        <w:trPr>
          <w:trHeight w:val="3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Налоговые и </w:t>
            </w:r>
            <w:proofErr w:type="gramStart"/>
            <w:r>
              <w:rPr>
                <w:b/>
                <w:sz w:val="20"/>
                <w:szCs w:val="20"/>
              </w:rPr>
              <w:t>неналоговые  доходы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1D2DB7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04A59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C64A9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31025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70264A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31025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70264A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102,8</w:t>
            </w:r>
          </w:p>
        </w:tc>
      </w:tr>
      <w:tr w:rsidR="00D80372" w:rsidRPr="00416AC5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jc w:val="both"/>
              <w:rPr>
                <w:b/>
                <w:i/>
                <w:sz w:val="20"/>
                <w:szCs w:val="20"/>
              </w:rPr>
            </w:pPr>
            <w:proofErr w:type="gramStart"/>
            <w:r w:rsidRPr="00416AC5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416AC5">
              <w:rPr>
                <w:b/>
                <w:i/>
                <w:sz w:val="20"/>
                <w:szCs w:val="20"/>
              </w:rPr>
              <w:t xml:space="preserve"> том числе 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DE0B4A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4B04D0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C64A9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584E89" w:rsidP="00E309A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363</w:t>
            </w:r>
            <w:r w:rsidR="00E309AB">
              <w:rPr>
                <w:b/>
                <w:i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70264A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C64A9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70264A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102,8</w:t>
            </w:r>
          </w:p>
        </w:tc>
      </w:tr>
      <w:tr w:rsidR="00D80372" w:rsidRPr="00416AC5" w:rsidTr="000C5254">
        <w:trPr>
          <w:trHeight w:val="3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НДФЛ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1D2DB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04A5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C64A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31025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70264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C64A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EA20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D80372" w:rsidRPr="00416AC5" w:rsidTr="000C5254">
        <w:trPr>
          <w:trHeight w:val="3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ЕСХН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Default="001D2DB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4B04D0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C64A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31025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70264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E309A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EA20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416AC5" w:rsidTr="000C5254">
        <w:trPr>
          <w:trHeight w:val="3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rPr>
                <w:sz w:val="20"/>
                <w:szCs w:val="20"/>
              </w:rPr>
            </w:pPr>
            <w:r w:rsidRPr="00416AC5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1D2DB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4B04D0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C64A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31025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70264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E309A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EA20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416AC5" w:rsidTr="000C5254">
        <w:trPr>
          <w:trHeight w:val="2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rPr>
                <w:sz w:val="20"/>
                <w:szCs w:val="20"/>
              </w:rPr>
            </w:pPr>
            <w:r w:rsidRPr="00416AC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1D2DB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4B04D0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C64A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E309A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70264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E309A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EA20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416AC5" w:rsidTr="000C5254">
        <w:trPr>
          <w:trHeight w:val="5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rPr>
                <w:sz w:val="20"/>
                <w:szCs w:val="20"/>
              </w:rPr>
            </w:pPr>
            <w:r w:rsidRPr="00416AC5">
              <w:rPr>
                <w:sz w:val="20"/>
                <w:szCs w:val="20"/>
              </w:rPr>
              <w:t xml:space="preserve">Доходы от уплаты </w:t>
            </w:r>
            <w:proofErr w:type="gramStart"/>
            <w:r w:rsidRPr="00416AC5">
              <w:rPr>
                <w:sz w:val="20"/>
                <w:szCs w:val="20"/>
              </w:rPr>
              <w:t>акцизов  по</w:t>
            </w:r>
            <w:proofErr w:type="gramEnd"/>
            <w:r w:rsidRPr="00416AC5">
              <w:rPr>
                <w:sz w:val="20"/>
                <w:szCs w:val="20"/>
              </w:rPr>
              <w:t xml:space="preserve"> подакцизным товарам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DE0B4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4B04D0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C64A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310255" w:rsidP="00584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4E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70264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E309A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EA20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D80372" w:rsidRPr="00416AC5" w:rsidTr="000C5254">
        <w:trPr>
          <w:trHeight w:val="3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1D2DB7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4B04D0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C64A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31025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70264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E309A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EA20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5870B6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416AC5">
              <w:rPr>
                <w:b/>
                <w:i/>
                <w:sz w:val="20"/>
                <w:szCs w:val="20"/>
              </w:rPr>
              <w:t>неналоговые</w:t>
            </w:r>
            <w:proofErr w:type="gramEnd"/>
            <w:r w:rsidRPr="00416AC5">
              <w:rPr>
                <w:b/>
                <w:i/>
                <w:sz w:val="20"/>
                <w:szCs w:val="20"/>
              </w:rPr>
              <w:t xml:space="preserve"> доходы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DE0B4A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B221FE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C64A9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584E89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70264A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5870B6" w:rsidRDefault="00E309AB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5870B6" w:rsidRDefault="00EA2035" w:rsidP="000C52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D80372" w:rsidRPr="005870B6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CE680A" w:rsidRDefault="00D80372" w:rsidP="000C5254">
            <w:pPr>
              <w:ind w:right="-108"/>
              <w:rPr>
                <w:sz w:val="20"/>
                <w:szCs w:val="20"/>
              </w:rPr>
            </w:pPr>
            <w:r w:rsidRPr="00CE680A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от аренды имущества, </w:t>
            </w:r>
            <w:proofErr w:type="gramStart"/>
            <w:r>
              <w:rPr>
                <w:sz w:val="20"/>
                <w:szCs w:val="20"/>
              </w:rPr>
              <w:t>находящегося 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мунип</w:t>
            </w:r>
            <w:proofErr w:type="spellEnd"/>
            <w:r>
              <w:rPr>
                <w:sz w:val="20"/>
                <w:szCs w:val="20"/>
              </w:rPr>
              <w:t>. собственности</w:t>
            </w:r>
            <w:r w:rsidRPr="00CE6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727518" w:rsidRDefault="00DE0B4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727518" w:rsidRDefault="004B04D0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727518" w:rsidRDefault="002C64A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727518" w:rsidRDefault="00584E8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727518" w:rsidRDefault="0070264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727518" w:rsidRDefault="00E309A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727518" w:rsidRDefault="00EA20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416AC5" w:rsidTr="000C5254">
        <w:trPr>
          <w:trHeight w:val="5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rPr>
                <w:sz w:val="20"/>
                <w:szCs w:val="20"/>
              </w:rPr>
            </w:pPr>
            <w:r w:rsidRPr="00416AC5">
              <w:rPr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B221FE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B221FE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C64A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584E8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70264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E309A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EA20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416AC5" w:rsidTr="000C5254">
        <w:trPr>
          <w:trHeight w:val="5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</w:t>
            </w:r>
            <w:proofErr w:type="gramStart"/>
            <w:r>
              <w:rPr>
                <w:sz w:val="20"/>
                <w:szCs w:val="20"/>
              </w:rPr>
              <w:t>от  компенсации</w:t>
            </w:r>
            <w:proofErr w:type="gramEnd"/>
            <w:r>
              <w:rPr>
                <w:sz w:val="20"/>
                <w:szCs w:val="20"/>
              </w:rPr>
              <w:t xml:space="preserve"> затрат бюджета </w:t>
            </w:r>
            <w:proofErr w:type="spellStart"/>
            <w:r>
              <w:rPr>
                <w:sz w:val="20"/>
                <w:szCs w:val="20"/>
              </w:rPr>
              <w:t>посел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Default="00B221FE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B221FE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C64A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584E89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70264A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E309AB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Default="00EA20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416AC5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rPr>
                <w:b/>
                <w:sz w:val="20"/>
                <w:szCs w:val="20"/>
              </w:rPr>
            </w:pPr>
            <w:r w:rsidRPr="00416AC5">
              <w:rPr>
                <w:b/>
                <w:sz w:val="20"/>
                <w:szCs w:val="20"/>
              </w:rPr>
              <w:t>Межбюджетные трансферты</w:t>
            </w:r>
            <w:r>
              <w:rPr>
                <w:b/>
                <w:sz w:val="20"/>
                <w:szCs w:val="20"/>
              </w:rPr>
              <w:t xml:space="preserve">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416A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DE0B4A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B221FE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C64A9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31025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70264A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31025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EA203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202,7</w:t>
            </w:r>
          </w:p>
        </w:tc>
      </w:tr>
      <w:tr w:rsidR="00070925" w:rsidRPr="00416AC5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5" w:rsidRPr="00070925" w:rsidRDefault="00070925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07092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325350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966338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325350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966338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966338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8B68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210,5</w:t>
            </w:r>
          </w:p>
        </w:tc>
      </w:tr>
      <w:tr w:rsidR="00070925" w:rsidRPr="00416AC5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5" w:rsidRPr="00070925" w:rsidRDefault="00070925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325350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325350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966338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966338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966338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966338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8B68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70925" w:rsidRPr="00416AC5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25" w:rsidRPr="00070925" w:rsidRDefault="00070925" w:rsidP="000C5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07092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325350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966338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966338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8B68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966338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25" w:rsidRPr="00070925" w:rsidRDefault="008B683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102,7</w:t>
            </w:r>
          </w:p>
        </w:tc>
      </w:tr>
      <w:tr w:rsidR="00D80372" w:rsidRPr="00416AC5" w:rsidTr="000C525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2" w:rsidRPr="00416AC5" w:rsidRDefault="00D80372" w:rsidP="000C5254">
            <w:pPr>
              <w:jc w:val="both"/>
              <w:rPr>
                <w:b/>
                <w:sz w:val="20"/>
                <w:szCs w:val="20"/>
              </w:rPr>
            </w:pPr>
            <w:r w:rsidRPr="00416AC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DE0B4A" w:rsidP="000C525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31025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2C64A9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31025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70264A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31025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2" w:rsidRPr="00416AC5" w:rsidRDefault="00EA203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164,5</w:t>
            </w:r>
          </w:p>
        </w:tc>
      </w:tr>
    </w:tbl>
    <w:p w:rsidR="00343B2D" w:rsidRDefault="007A238F" w:rsidP="0025276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Как видно из таблицы, в сравнении с ожидаемым исполнением доходной части бюджета в 2021 году, </w:t>
      </w:r>
      <w:r w:rsidRPr="007A238F">
        <w:rPr>
          <w:rFonts w:ascii="TimesNewRomanPSMT" w:hAnsi="TimesNewRomanPSMT" w:cs="TimesNewRomanPSMT"/>
          <w:u w:val="single"/>
        </w:rPr>
        <w:t>на 2022 год</w:t>
      </w:r>
      <w:r>
        <w:rPr>
          <w:rFonts w:ascii="TimesNewRomanPSMT" w:hAnsi="TimesNewRomanPSMT" w:cs="TimesNewRomanPSMT"/>
          <w:u w:val="single"/>
        </w:rPr>
        <w:t xml:space="preserve"> </w:t>
      </w:r>
      <w:r>
        <w:rPr>
          <w:rFonts w:ascii="TimesNewRomanPSMT" w:hAnsi="TimesNewRomanPSMT" w:cs="TimesNewRomanPSMT"/>
        </w:rPr>
        <w:t xml:space="preserve">прогнозируется снижение доходов бюджета </w:t>
      </w:r>
      <w:r w:rsidR="004551A8">
        <w:rPr>
          <w:rFonts w:ascii="TimesNewRomanPSMT" w:hAnsi="TimesNewRomanPSMT" w:cs="TimesNewRomanPSMT"/>
        </w:rPr>
        <w:t>на 60,8%</w:t>
      </w:r>
      <w:r w:rsidR="001D45F6">
        <w:rPr>
          <w:rFonts w:ascii="TimesNewRomanPSMT" w:hAnsi="TimesNewRomanPSMT" w:cs="TimesNewRomanPSMT"/>
        </w:rPr>
        <w:t>, или на 19350,6 тыс. руб., в том числе за счет снижения безвозмездных поступлений на 19264 тыс. руб., или на 68,6%, налоговые доходы со снижением на 102,6 тыс. руб., или на 2,8%, неналоговые до</w:t>
      </w:r>
      <w:r w:rsidR="007815AE">
        <w:rPr>
          <w:rFonts w:ascii="TimesNewRomanPSMT" w:hAnsi="TimesNewRomanPSMT" w:cs="TimesNewRomanPSMT"/>
        </w:rPr>
        <w:t>ходы прогнозируются с ростом на 27,2 %, или на 16 тыс. руб.</w:t>
      </w:r>
    </w:p>
    <w:p w:rsidR="007815AE" w:rsidRDefault="00252763" w:rsidP="00252763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 2023 году по отношению к прогнозу 2022 года рост налоговых доходов составит 1,7%, неналоговых доходов рост ожидается на 0,7%, безвозмездных </w:t>
      </w:r>
      <w:r w:rsidR="001230F0">
        <w:rPr>
          <w:rFonts w:ascii="TimesNewRomanPSMT" w:hAnsi="TimesNewRomanPSMT" w:cs="TimesNewRomanPSMT"/>
        </w:rPr>
        <w:t xml:space="preserve">поступлений </w:t>
      </w:r>
      <w:r>
        <w:rPr>
          <w:rFonts w:ascii="TimesNewRomanPSMT" w:hAnsi="TimesNewRomanPSMT" w:cs="TimesNewRomanPSMT"/>
        </w:rPr>
        <w:t>ожидается снижение на 31,9%.</w:t>
      </w:r>
      <w:r w:rsidR="00D759EA">
        <w:rPr>
          <w:rFonts w:ascii="TimesNewRomanPSMT" w:hAnsi="TimesNewRomanPSMT" w:cs="TimesNewRomanPSMT"/>
        </w:rPr>
        <w:t xml:space="preserve"> Предполагается, что налоговые и неналоговые доходы поступят в 2023 году в объеме 3711 тыс. руб. и составят 38,2% в общем объеме доходов бюджета. Объем безвозмездных поступлений </w:t>
      </w:r>
      <w:r w:rsidR="001230F0">
        <w:rPr>
          <w:rFonts w:ascii="TimesNewRomanPSMT" w:hAnsi="TimesNewRomanPSMT" w:cs="TimesNewRomanPSMT"/>
        </w:rPr>
        <w:t>на 2023 год ожидается в размере 6003,7 тыс. руб., что составит 61,8% в общих объемах доходов.</w:t>
      </w:r>
    </w:p>
    <w:p w:rsidR="00D80372" w:rsidRDefault="00D80372" w:rsidP="00D80372">
      <w:pPr>
        <w:ind w:firstLine="567"/>
        <w:jc w:val="both"/>
      </w:pPr>
      <w:r>
        <w:tab/>
        <w:t>На 202</w:t>
      </w:r>
      <w:r w:rsidR="001230F0">
        <w:t>4</w:t>
      </w:r>
      <w:r>
        <w:t xml:space="preserve"> год прогнозируется рост налоговых доходов на </w:t>
      </w:r>
      <w:r w:rsidR="001230F0">
        <w:t>2,8</w:t>
      </w:r>
      <w:r>
        <w:t>% по сравнению с предыдущим годом, неналоговые доходы ожидаются на том же уровне, а безвозмездные поступле</w:t>
      </w:r>
      <w:r w:rsidR="00BE3F53">
        <w:t xml:space="preserve">ния </w:t>
      </w:r>
      <w:r>
        <w:t xml:space="preserve">– с </w:t>
      </w:r>
      <w:r w:rsidR="001230F0">
        <w:t xml:space="preserve">ростом </w:t>
      </w:r>
      <w:r>
        <w:t xml:space="preserve">на </w:t>
      </w:r>
      <w:r w:rsidR="00482114">
        <w:t>102,7</w:t>
      </w:r>
      <w:r>
        <w:t>%</w:t>
      </w:r>
      <w:r w:rsidR="008B6835">
        <w:t>.</w:t>
      </w:r>
      <w:r>
        <w:t xml:space="preserve"> Предполагается, что налоговые и не</w:t>
      </w:r>
      <w:r w:rsidR="00482114">
        <w:t>налоговые доходы поступят в 2024</w:t>
      </w:r>
      <w:r>
        <w:t xml:space="preserve"> году в объеме 3</w:t>
      </w:r>
      <w:r w:rsidR="00482114">
        <w:t xml:space="preserve">814,8 </w:t>
      </w:r>
      <w:r>
        <w:t xml:space="preserve">тыс. рублей и составят </w:t>
      </w:r>
      <w:r w:rsidR="00482114">
        <w:t>23,9</w:t>
      </w:r>
      <w:r>
        <w:t>% в общем объеме доходов бюджета. Объем безвозмездных поступлений на 202</w:t>
      </w:r>
      <w:r w:rsidR="00482114">
        <w:t>4</w:t>
      </w:r>
      <w:r>
        <w:t xml:space="preserve"> год ожидается в размере </w:t>
      </w:r>
      <w:r w:rsidR="00482114">
        <w:t xml:space="preserve">12172,3 </w:t>
      </w:r>
      <w:r>
        <w:t xml:space="preserve">тыс. рублей, что составит </w:t>
      </w:r>
      <w:r w:rsidR="00482114">
        <w:t>76,1</w:t>
      </w:r>
      <w:r>
        <w:t xml:space="preserve">% в общих объемах доходов. </w:t>
      </w:r>
    </w:p>
    <w:p w:rsidR="00D80372" w:rsidRDefault="00D80372" w:rsidP="00D80372">
      <w:pPr>
        <w:ind w:firstLine="567"/>
        <w:jc w:val="both"/>
      </w:pPr>
      <w:r w:rsidRPr="00D45402">
        <w:t xml:space="preserve">В трехлетней перспективе структура доходов бюджета </w:t>
      </w:r>
      <w:proofErr w:type="spellStart"/>
      <w:r w:rsidRPr="00D45402">
        <w:t>Каразейского</w:t>
      </w:r>
      <w:proofErr w:type="spellEnd"/>
      <w:r w:rsidRPr="00D45402">
        <w:t xml:space="preserve"> МО относительно стабильна. Налоговые и неналоговые доходы в бюджете в </w:t>
      </w:r>
      <w:r>
        <w:t>202</w:t>
      </w:r>
      <w:r w:rsidR="00232282">
        <w:t>1</w:t>
      </w:r>
      <w:r w:rsidRPr="00D45402">
        <w:t xml:space="preserve"> году </w:t>
      </w:r>
      <w:r w:rsidR="00232282">
        <w:t>составят 11,7</w:t>
      </w:r>
      <w:r w:rsidRPr="00D45402">
        <w:t xml:space="preserve">%, в </w:t>
      </w:r>
      <w:r w:rsidR="00232282">
        <w:t>2022</w:t>
      </w:r>
      <w:r w:rsidRPr="00D45402">
        <w:t xml:space="preserve"> году – </w:t>
      </w:r>
      <w:r w:rsidR="004E27E6">
        <w:t>29,2</w:t>
      </w:r>
      <w:r w:rsidRPr="00D45402">
        <w:t xml:space="preserve">%, в </w:t>
      </w:r>
      <w:r>
        <w:t>202</w:t>
      </w:r>
      <w:r w:rsidR="004E27E6">
        <w:t>3</w:t>
      </w:r>
      <w:r w:rsidRPr="00D45402">
        <w:t xml:space="preserve"> году –</w:t>
      </w:r>
      <w:r w:rsidR="004E27E6">
        <w:t xml:space="preserve"> 38,2%</w:t>
      </w:r>
      <w:r w:rsidRPr="00D45402">
        <w:t xml:space="preserve">, в </w:t>
      </w:r>
      <w:r>
        <w:t>202</w:t>
      </w:r>
      <w:r w:rsidR="004E27E6">
        <w:t>4</w:t>
      </w:r>
      <w:r w:rsidRPr="00D45402">
        <w:t xml:space="preserve"> году – </w:t>
      </w:r>
      <w:r w:rsidR="004E27E6">
        <w:t>23,9</w:t>
      </w:r>
      <w:r w:rsidRPr="00D45402">
        <w:t xml:space="preserve">%. </w:t>
      </w:r>
      <w:r w:rsidR="00273E70">
        <w:t xml:space="preserve">Следует заметить, что </w:t>
      </w:r>
      <w:r w:rsidR="009E1196">
        <w:t>рост или спад удель</w:t>
      </w:r>
      <w:r w:rsidR="007F2BA6">
        <w:t xml:space="preserve">ного веса налоговых и неналоговых доходов в сумме доходов бюджета поселения происходит, в основном за счет значительных изменений объемов </w:t>
      </w:r>
      <w:r w:rsidR="007F2BA6">
        <w:lastRenderedPageBreak/>
        <w:t>безвозмездных поступлений.</w:t>
      </w:r>
      <w:r w:rsidRPr="00D45402">
        <w:t xml:space="preserve"> Безвозмездные поступления, в составе которых только межбюджетные трансферты, составляют более половины объема доходной базы </w:t>
      </w:r>
      <w:r>
        <w:t>м</w:t>
      </w:r>
      <w:r w:rsidR="004E27E6">
        <w:t>естного бюджета, а именно в 2021г</w:t>
      </w:r>
      <w:r w:rsidRPr="00D45402">
        <w:t xml:space="preserve">. – </w:t>
      </w:r>
      <w:r w:rsidR="004E27E6">
        <w:t>88,3</w:t>
      </w:r>
      <w:r w:rsidRPr="00D45402">
        <w:t xml:space="preserve">%, в </w:t>
      </w:r>
      <w:r>
        <w:t>202</w:t>
      </w:r>
      <w:r w:rsidR="004E27E6">
        <w:t>2</w:t>
      </w:r>
      <w:r w:rsidRPr="00D45402">
        <w:t>г. –</w:t>
      </w:r>
      <w:r>
        <w:t>7</w:t>
      </w:r>
      <w:r w:rsidR="004E27E6">
        <w:t>0,8</w:t>
      </w:r>
      <w:r w:rsidRPr="00D45402">
        <w:t xml:space="preserve">% и </w:t>
      </w:r>
      <w:r>
        <w:t>202</w:t>
      </w:r>
      <w:r w:rsidR="004E27E6">
        <w:t>3</w:t>
      </w:r>
      <w:r w:rsidRPr="00D45402">
        <w:t xml:space="preserve">г. – </w:t>
      </w:r>
      <w:r w:rsidR="004E27E6">
        <w:t>61,8</w:t>
      </w:r>
      <w:r w:rsidRPr="00D45402">
        <w:t xml:space="preserve">%, в </w:t>
      </w:r>
      <w:r>
        <w:t>202</w:t>
      </w:r>
      <w:r w:rsidR="004E27E6">
        <w:t>4</w:t>
      </w:r>
      <w:r w:rsidRPr="00D45402">
        <w:t xml:space="preserve">г. – </w:t>
      </w:r>
      <w:r w:rsidR="004E27E6">
        <w:t>76,1</w:t>
      </w:r>
      <w:r w:rsidRPr="00D45402">
        <w:t>%.</w:t>
      </w:r>
    </w:p>
    <w:p w:rsidR="00D80372" w:rsidRDefault="00D80372" w:rsidP="00D80372">
      <w:pPr>
        <w:ind w:firstLine="567"/>
        <w:jc w:val="both"/>
      </w:pPr>
      <w:r>
        <w:t xml:space="preserve">Структура доходов бюджета </w:t>
      </w:r>
      <w:proofErr w:type="spellStart"/>
      <w:r>
        <w:t>Каразейского</w:t>
      </w:r>
      <w:proofErr w:type="spellEnd"/>
      <w:r>
        <w:t xml:space="preserve"> </w:t>
      </w:r>
      <w:r w:rsidR="007F2BA6">
        <w:t>муниципального образования в 2020</w:t>
      </w:r>
      <w:r>
        <w:t>-202</w:t>
      </w:r>
      <w:r w:rsidR="007F2BA6">
        <w:t>4</w:t>
      </w:r>
      <w:r>
        <w:t xml:space="preserve"> годах представлена на рисунке № 1.</w:t>
      </w:r>
    </w:p>
    <w:p w:rsidR="00D80372" w:rsidRDefault="00D80372" w:rsidP="00D80372">
      <w:pPr>
        <w:jc w:val="both"/>
      </w:pPr>
      <w:r>
        <w:rPr>
          <w:noProof/>
        </w:rPr>
        <w:drawing>
          <wp:inline distT="0" distB="0" distL="0" distR="0">
            <wp:extent cx="6000750" cy="21050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43085">
        <w:t xml:space="preserve"> </w:t>
      </w:r>
      <w:r>
        <w:tab/>
      </w:r>
      <w:r w:rsidRPr="00A43085">
        <w:t xml:space="preserve">Из представленного рисунка видно, что наибольший объем безвозмездных поступлений ожидается в </w:t>
      </w:r>
      <w:r w:rsidR="000F7668">
        <w:t>2021</w:t>
      </w:r>
      <w:r w:rsidRPr="00A43085">
        <w:t xml:space="preserve"> году. Безвозмездные поступления являются основой формирования доходной базы поселения. Налоговые доходы относительно стабильны, а неналоговые поступления незначительны.</w:t>
      </w:r>
    </w:p>
    <w:p w:rsidR="00D80372" w:rsidRDefault="00D80372" w:rsidP="008B6835">
      <w:pPr>
        <w:jc w:val="both"/>
      </w:pPr>
      <w:r>
        <w:tab/>
      </w:r>
    </w:p>
    <w:p w:rsidR="00D80372" w:rsidRDefault="00D80372" w:rsidP="00D80372">
      <w:pPr>
        <w:jc w:val="center"/>
        <w:rPr>
          <w:b/>
          <w:u w:val="single"/>
        </w:rPr>
      </w:pPr>
      <w:r w:rsidRPr="00C354F2">
        <w:rPr>
          <w:b/>
          <w:u w:val="single"/>
        </w:rPr>
        <w:t xml:space="preserve"> Налоговые доходы бюджета поселения</w:t>
      </w:r>
    </w:p>
    <w:p w:rsidR="00647FC7" w:rsidRDefault="00D80372" w:rsidP="00D80372">
      <w:pPr>
        <w:ind w:firstLine="567"/>
        <w:jc w:val="both"/>
      </w:pPr>
      <w:r w:rsidRPr="00A43085">
        <w:t xml:space="preserve">Налоговые доходы в </w:t>
      </w:r>
      <w:r w:rsidR="00BA1FCD">
        <w:t xml:space="preserve">2022 </w:t>
      </w:r>
      <w:r w:rsidRPr="00A43085">
        <w:t xml:space="preserve">году, как и в предыдущие годы, являются основой налоговых и неналоговых доходов бюджета поселения, в составе которых наибольший удельный вес имеют доходы </w:t>
      </w:r>
      <w:r>
        <w:t xml:space="preserve">от </w:t>
      </w:r>
      <w:r w:rsidRPr="000B3105">
        <w:t>доходы от уплаты акцизов</w:t>
      </w:r>
      <w:r w:rsidRPr="00A43085">
        <w:t xml:space="preserve"> – 3</w:t>
      </w:r>
      <w:r w:rsidR="00647FC7">
        <w:t>2% и от уплаты ЕСХН – 23,6%.</w:t>
      </w:r>
    </w:p>
    <w:p w:rsidR="001F7DAF" w:rsidRDefault="001F7DAF" w:rsidP="001F7DAF">
      <w:pPr>
        <w:ind w:firstLine="567"/>
        <w:jc w:val="both"/>
      </w:pPr>
      <w:r w:rsidRPr="00D91ED6">
        <w:t xml:space="preserve">По </w:t>
      </w:r>
      <w:r>
        <w:t xml:space="preserve">данным </w:t>
      </w:r>
      <w:r w:rsidR="00BC4CFF">
        <w:t>Межрайонной ИФНС России №14 по Иркутской области</w:t>
      </w:r>
      <w:bookmarkStart w:id="0" w:name="_GoBack"/>
      <w:bookmarkEnd w:id="0"/>
      <w:r>
        <w:t xml:space="preserve"> на 01.10.2021 года недоимка по налогам в бюджет поселения составила 263,8 тыс. руб.</w:t>
      </w:r>
    </w:p>
    <w:p w:rsidR="001F7DAF" w:rsidRDefault="001F7DAF" w:rsidP="00D80372">
      <w:pPr>
        <w:ind w:firstLine="567"/>
        <w:jc w:val="center"/>
        <w:rPr>
          <w:b/>
          <w:i/>
        </w:rPr>
      </w:pPr>
    </w:p>
    <w:p w:rsidR="00D80372" w:rsidRPr="00A66CF8" w:rsidRDefault="00D80372" w:rsidP="00D80372">
      <w:pPr>
        <w:ind w:firstLine="567"/>
        <w:jc w:val="center"/>
        <w:rPr>
          <w:b/>
          <w:i/>
        </w:rPr>
      </w:pPr>
      <w:r>
        <w:rPr>
          <w:b/>
          <w:i/>
        </w:rPr>
        <w:t>Доходы от уплаты акцизов по подакцизным товарам</w:t>
      </w:r>
    </w:p>
    <w:p w:rsidR="00182605" w:rsidRDefault="00D80372" w:rsidP="0018260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Главным администратором данного вида доходов является Федеральное казначейство</w:t>
      </w:r>
      <w:r w:rsidRPr="00C123BA">
        <w:t xml:space="preserve"> по Иркутской области</w:t>
      </w:r>
      <w:r>
        <w:t>, которое доводит информацию об объемах поступлений акцизов в бюджеты поселений. За счет доходов от акцизов формируются дорожные фонды поселений.</w:t>
      </w:r>
      <w:r w:rsidRPr="00C123BA">
        <w:t xml:space="preserve"> </w:t>
      </w:r>
      <w:r w:rsidR="00182605">
        <w:t>Проектом бюджета поступление доходов по подакцизным товарам на 2022 год прогнозируется в сумме 1167,4 тыс. руб., что больше ожидаемого исполнения 2021 года на 139,5 тыс. руб., или на 13,5 %</w:t>
      </w:r>
      <w:r w:rsidR="00857AF4">
        <w:t>, на 2023 год – 1223,7 тыс. руб., на 2024 год – 1321,6 тыс. руб.</w:t>
      </w:r>
      <w:r w:rsidR="00182605">
        <w:t xml:space="preserve"> </w:t>
      </w:r>
    </w:p>
    <w:p w:rsidR="00857AF4" w:rsidRDefault="00857AF4" w:rsidP="00857AF4">
      <w:pPr>
        <w:ind w:firstLine="567"/>
        <w:jc w:val="both"/>
        <w:rPr>
          <w:b/>
        </w:rPr>
      </w:pPr>
      <w:r w:rsidRPr="00507EE2">
        <w:t>Доходы от акцизов являются самым значимым доходным источником</w:t>
      </w:r>
      <w:r>
        <w:t>, имеющим наибольший удельный вес в составе налоговых и неналоговых доходов</w:t>
      </w:r>
      <w:r>
        <w:rPr>
          <w:b/>
        </w:rPr>
        <w:t>.</w:t>
      </w:r>
    </w:p>
    <w:p w:rsidR="00D80372" w:rsidRDefault="00D80372" w:rsidP="00D80372">
      <w:pPr>
        <w:ind w:firstLine="567"/>
        <w:jc w:val="center"/>
        <w:rPr>
          <w:b/>
          <w:i/>
        </w:rPr>
      </w:pPr>
    </w:p>
    <w:p w:rsidR="00D80372" w:rsidRDefault="00D80372" w:rsidP="00D80372">
      <w:pPr>
        <w:ind w:firstLine="567"/>
        <w:jc w:val="center"/>
        <w:rPr>
          <w:b/>
          <w:i/>
        </w:rPr>
      </w:pPr>
      <w:r w:rsidRPr="00A441D3">
        <w:rPr>
          <w:color w:val="FF0000"/>
        </w:rPr>
        <w:t xml:space="preserve">       </w:t>
      </w:r>
      <w:r w:rsidRPr="002A2DE8">
        <w:rPr>
          <w:b/>
          <w:i/>
        </w:rPr>
        <w:t>Налог на доходы физических лиц</w:t>
      </w:r>
    </w:p>
    <w:p w:rsidR="00BE4B8E" w:rsidRPr="00733DAC" w:rsidRDefault="00BE4B8E" w:rsidP="00BE4B8E">
      <w:pPr>
        <w:autoSpaceDE w:val="0"/>
        <w:autoSpaceDN w:val="0"/>
        <w:adjustRightInd w:val="0"/>
        <w:ind w:firstLine="567"/>
        <w:jc w:val="both"/>
      </w:pPr>
      <w:r w:rsidRPr="00F821BD">
        <w:t xml:space="preserve">В </w:t>
      </w:r>
      <w:r>
        <w:t>проекте бюджета</w:t>
      </w:r>
      <w:r w:rsidRPr="00F821BD">
        <w:t xml:space="preserve"> поступление налога на доходы физических лиц в </w:t>
      </w:r>
      <w:r>
        <w:t>2022</w:t>
      </w:r>
      <w:r w:rsidRPr="00F821BD">
        <w:t xml:space="preserve"> году прогнозируется в сумме </w:t>
      </w:r>
      <w:r>
        <w:rPr>
          <w:b/>
        </w:rPr>
        <w:t>591,1 тыс</w:t>
      </w:r>
      <w:r w:rsidRPr="00CC248A">
        <w:rPr>
          <w:b/>
        </w:rPr>
        <w:t>. руб</w:t>
      </w:r>
      <w:r w:rsidR="00B97A11">
        <w:rPr>
          <w:b/>
        </w:rPr>
        <w:t>.,</w:t>
      </w:r>
      <w:r>
        <w:rPr>
          <w:b/>
        </w:rPr>
        <w:t xml:space="preserve"> </w:t>
      </w:r>
      <w:r w:rsidRPr="003406A8">
        <w:t xml:space="preserve">что </w:t>
      </w:r>
      <w:r w:rsidRPr="00F821BD">
        <w:t xml:space="preserve">составляет </w:t>
      </w:r>
      <w:r>
        <w:t>85,4</w:t>
      </w:r>
      <w:r w:rsidRPr="00F821BD">
        <w:t>% к ожидаем</w:t>
      </w:r>
      <w:r>
        <w:t>ым</w:t>
      </w:r>
      <w:r w:rsidRPr="00F821BD">
        <w:t xml:space="preserve"> поступлени</w:t>
      </w:r>
      <w:r>
        <w:t>ям</w:t>
      </w:r>
      <w:r w:rsidRPr="00F821BD">
        <w:t xml:space="preserve"> </w:t>
      </w:r>
      <w:r>
        <w:t>2021</w:t>
      </w:r>
      <w:r w:rsidRPr="00F821BD">
        <w:t xml:space="preserve"> года</w:t>
      </w:r>
      <w:r>
        <w:t>. Согласно представленного реестра источников доходов бюджета кассовое поступление налога на доходы физических лиц текущего финансового года по состоянию на 1 ноября 2021 года составило 59</w:t>
      </w:r>
      <w:r w:rsidR="007557F5">
        <w:t>2,9</w:t>
      </w:r>
      <w:r>
        <w:t xml:space="preserve"> тыс. руб., или 85,6% от ожидаемого годового исполнения (692,3 тыс. руб.). </w:t>
      </w:r>
      <w:r w:rsidRPr="00734488">
        <w:t>Недоимка по данному налогу на 01.1</w:t>
      </w:r>
      <w:r>
        <w:t>0</w:t>
      </w:r>
      <w:r w:rsidRPr="00734488">
        <w:t>.</w:t>
      </w:r>
      <w:r>
        <w:t>2021</w:t>
      </w:r>
      <w:r w:rsidRPr="00734488">
        <w:t>г. составляет</w:t>
      </w:r>
      <w:r>
        <w:t xml:space="preserve"> 7,4 </w:t>
      </w:r>
      <w:r w:rsidRPr="00734488">
        <w:t>тыс. руб.</w:t>
      </w:r>
      <w:r w:rsidRPr="00137AFE">
        <w:rPr>
          <w:b/>
        </w:rPr>
        <w:t xml:space="preserve"> </w:t>
      </w:r>
      <w:r>
        <w:t xml:space="preserve">Прогноз поступлений налога на доходы физических лиц в бюджет в 2023 году составляет </w:t>
      </w:r>
      <w:r w:rsidR="006E002E">
        <w:t>597,5</w:t>
      </w:r>
      <w:r>
        <w:t xml:space="preserve"> тыс. руб., или </w:t>
      </w:r>
      <w:r w:rsidR="006E002E">
        <w:t>101,1</w:t>
      </w:r>
      <w:r>
        <w:t>% к прогнозу 202</w:t>
      </w:r>
      <w:r w:rsidR="006E002E">
        <w:t>2</w:t>
      </w:r>
      <w:r>
        <w:t xml:space="preserve"> года, в 202</w:t>
      </w:r>
      <w:r w:rsidR="006E002E">
        <w:t>4</w:t>
      </w:r>
      <w:r>
        <w:t xml:space="preserve"> году – </w:t>
      </w:r>
      <w:r w:rsidR="006E002E">
        <w:t>603,4</w:t>
      </w:r>
      <w:r>
        <w:t xml:space="preserve"> </w:t>
      </w:r>
      <w:r w:rsidR="006E002E">
        <w:t>тыс. руб., или 101</w:t>
      </w:r>
      <w:r>
        <w:t>% к 202</w:t>
      </w:r>
      <w:r w:rsidR="006E002E">
        <w:t>3</w:t>
      </w:r>
      <w:r>
        <w:t xml:space="preserve"> году. </w:t>
      </w:r>
      <w:r w:rsidRPr="00285762">
        <w:rPr>
          <w:b/>
        </w:rPr>
        <w:t>Пояснительная записка к проекту бюджета</w:t>
      </w:r>
      <w:r>
        <w:rPr>
          <w:b/>
        </w:rPr>
        <w:t xml:space="preserve"> </w:t>
      </w:r>
      <w:r w:rsidRPr="00285762">
        <w:rPr>
          <w:b/>
        </w:rPr>
        <w:t xml:space="preserve">не содержит разъяснения о причинах </w:t>
      </w:r>
      <w:r>
        <w:rPr>
          <w:b/>
        </w:rPr>
        <w:t>снижения плановых поступлений доходов от НДФЛ.</w:t>
      </w:r>
    </w:p>
    <w:p w:rsidR="00BE4B8E" w:rsidRDefault="00BE4B8E" w:rsidP="00BE4B8E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Учитывая темпы роста среднемесячной заработной платы, определенные Прогнозом СЭР </w:t>
      </w:r>
      <w:proofErr w:type="spellStart"/>
      <w:r w:rsidR="006E002E">
        <w:rPr>
          <w:b/>
        </w:rPr>
        <w:t>Каразейским</w:t>
      </w:r>
      <w:proofErr w:type="spellEnd"/>
      <w:r>
        <w:rPr>
          <w:b/>
        </w:rPr>
        <w:t xml:space="preserve"> МО, на 202</w:t>
      </w:r>
      <w:r w:rsidR="006E002E">
        <w:rPr>
          <w:b/>
        </w:rPr>
        <w:t>2</w:t>
      </w:r>
      <w:r>
        <w:rPr>
          <w:b/>
        </w:rPr>
        <w:t xml:space="preserve"> год – 104</w:t>
      </w:r>
      <w:r w:rsidR="006E002E">
        <w:rPr>
          <w:b/>
        </w:rPr>
        <w:t>,1</w:t>
      </w:r>
      <w:r>
        <w:rPr>
          <w:b/>
        </w:rPr>
        <w:t>%, на 202</w:t>
      </w:r>
      <w:r w:rsidR="006E002E">
        <w:rPr>
          <w:b/>
        </w:rPr>
        <w:t>3</w:t>
      </w:r>
      <w:r>
        <w:rPr>
          <w:b/>
        </w:rPr>
        <w:t>г. -104</w:t>
      </w:r>
      <w:r w:rsidR="006E002E">
        <w:rPr>
          <w:b/>
        </w:rPr>
        <w:t>,3</w:t>
      </w:r>
      <w:r>
        <w:rPr>
          <w:b/>
        </w:rPr>
        <w:t>%, на 202</w:t>
      </w:r>
      <w:r w:rsidR="006E002E">
        <w:rPr>
          <w:b/>
        </w:rPr>
        <w:t>4</w:t>
      </w:r>
      <w:r>
        <w:rPr>
          <w:b/>
        </w:rPr>
        <w:t xml:space="preserve">г. </w:t>
      </w:r>
      <w:r w:rsidR="006E002E">
        <w:rPr>
          <w:b/>
        </w:rPr>
        <w:t>– 104,1</w:t>
      </w:r>
      <w:r>
        <w:rPr>
          <w:b/>
        </w:rPr>
        <w:t>%, фактическое поступление НДФЛ за 1</w:t>
      </w:r>
      <w:r w:rsidR="006E002E">
        <w:rPr>
          <w:b/>
        </w:rPr>
        <w:t>0</w:t>
      </w:r>
      <w:r>
        <w:rPr>
          <w:b/>
        </w:rPr>
        <w:t xml:space="preserve"> месяцев 202</w:t>
      </w:r>
      <w:r w:rsidR="006E002E">
        <w:rPr>
          <w:b/>
        </w:rPr>
        <w:t>1</w:t>
      </w:r>
      <w:r>
        <w:rPr>
          <w:b/>
        </w:rPr>
        <w:t xml:space="preserve">г., КСП полагает, что </w:t>
      </w:r>
      <w:r>
        <w:rPr>
          <w:b/>
        </w:rPr>
        <w:lastRenderedPageBreak/>
        <w:t>прогнозные показатели НДФЛ несколько занижены и их следует откорректировать в сторону увеличения.</w:t>
      </w:r>
    </w:p>
    <w:p w:rsidR="00BE4B8E" w:rsidRDefault="00BE4B8E" w:rsidP="00BE4B8E">
      <w:pPr>
        <w:ind w:firstLine="567"/>
        <w:jc w:val="both"/>
      </w:pPr>
      <w:r w:rsidRPr="00DD26CE">
        <w:t xml:space="preserve">Доля поступления </w:t>
      </w:r>
      <w:r>
        <w:t>НДФЛ</w:t>
      </w:r>
      <w:r w:rsidRPr="00DD26CE">
        <w:t xml:space="preserve"> </w:t>
      </w:r>
      <w:r>
        <w:t>в плановом периоде</w:t>
      </w:r>
      <w:r w:rsidRPr="00DD26CE">
        <w:t xml:space="preserve"> в общем объеме налоговых и неналоговых доходов состав</w:t>
      </w:r>
      <w:r>
        <w:t>и</w:t>
      </w:r>
      <w:r w:rsidRPr="00DD26CE">
        <w:t xml:space="preserve">т </w:t>
      </w:r>
      <w:r>
        <w:t>1</w:t>
      </w:r>
      <w:r w:rsidR="006E002E">
        <w:t>6,2-15,8</w:t>
      </w:r>
      <w:r>
        <w:t>%</w:t>
      </w:r>
      <w:r w:rsidRPr="00DD26CE">
        <w:t>.</w:t>
      </w:r>
      <w:r>
        <w:t xml:space="preserve"> </w:t>
      </w:r>
    </w:p>
    <w:p w:rsidR="00D80372" w:rsidRPr="000841E1" w:rsidRDefault="00D80372" w:rsidP="00D80372">
      <w:pPr>
        <w:jc w:val="both"/>
      </w:pPr>
    </w:p>
    <w:p w:rsidR="00D80372" w:rsidRPr="001C4765" w:rsidRDefault="00D80372" w:rsidP="00D80372">
      <w:pPr>
        <w:ind w:firstLine="567"/>
        <w:jc w:val="center"/>
        <w:rPr>
          <w:b/>
          <w:i/>
        </w:rPr>
      </w:pPr>
      <w:r>
        <w:rPr>
          <w:b/>
          <w:i/>
        </w:rPr>
        <w:t>Земельный налог</w:t>
      </w:r>
    </w:p>
    <w:p w:rsidR="00D80372" w:rsidRDefault="00D80372" w:rsidP="00D80372">
      <w:pPr>
        <w:ind w:left="-170" w:firstLine="567"/>
        <w:jc w:val="both"/>
      </w:pPr>
      <w:r>
        <w:t>Посту</w:t>
      </w:r>
      <w:r w:rsidR="007557F5">
        <w:t>пление земельного налога на 2022</w:t>
      </w:r>
      <w:r>
        <w:t xml:space="preserve"> год и плановый период 202</w:t>
      </w:r>
      <w:r w:rsidR="007557F5">
        <w:t>3</w:t>
      </w:r>
      <w:r>
        <w:t>-202</w:t>
      </w:r>
      <w:r w:rsidR="007557F5">
        <w:t>4</w:t>
      </w:r>
      <w:r>
        <w:t xml:space="preserve">гг. прогнозируется в сумме по </w:t>
      </w:r>
      <w:r>
        <w:rPr>
          <w:b/>
        </w:rPr>
        <w:t>838,1</w:t>
      </w:r>
      <w:r w:rsidRPr="00AF4080">
        <w:rPr>
          <w:b/>
        </w:rPr>
        <w:t xml:space="preserve"> тыс. руб.</w:t>
      </w:r>
      <w:r>
        <w:rPr>
          <w:b/>
        </w:rPr>
        <w:t xml:space="preserve"> </w:t>
      </w:r>
      <w:r w:rsidRPr="0082587D">
        <w:t>ежегодно,</w:t>
      </w:r>
      <w:r>
        <w:rPr>
          <w:b/>
        </w:rPr>
        <w:t xml:space="preserve"> </w:t>
      </w:r>
      <w:r>
        <w:t>или 10</w:t>
      </w:r>
      <w:r w:rsidR="007557F5">
        <w:t>0% к ожидаемым поступлениям 2021</w:t>
      </w:r>
      <w:r>
        <w:t xml:space="preserve"> года.</w:t>
      </w:r>
      <w:r w:rsidRPr="0087443C">
        <w:t xml:space="preserve"> Доля поступления земельного налога в </w:t>
      </w:r>
      <w:r>
        <w:t xml:space="preserve">плановом периоде </w:t>
      </w:r>
      <w:r w:rsidRPr="0087443C">
        <w:t xml:space="preserve">в общем объеме </w:t>
      </w:r>
      <w:r>
        <w:t xml:space="preserve">налоговых </w:t>
      </w:r>
      <w:r w:rsidRPr="0087443C">
        <w:t xml:space="preserve">доходов составляет </w:t>
      </w:r>
      <w:r>
        <w:t>2</w:t>
      </w:r>
      <w:r w:rsidR="007557F5">
        <w:t>3-22</w:t>
      </w:r>
      <w:r w:rsidRPr="0087443C">
        <w:t>%.</w:t>
      </w:r>
      <w:r w:rsidRPr="00A441D3">
        <w:rPr>
          <w:color w:val="FF0000"/>
        </w:rPr>
        <w:t xml:space="preserve"> </w:t>
      </w:r>
      <w:r w:rsidRPr="0097232C">
        <w:t>Фактическое поступление за 10 мес</w:t>
      </w:r>
      <w:r>
        <w:t>яцев</w:t>
      </w:r>
      <w:r w:rsidRPr="0097232C">
        <w:t xml:space="preserve"> </w:t>
      </w:r>
      <w:r>
        <w:t>202</w:t>
      </w:r>
      <w:r w:rsidR="007557F5">
        <w:t>1</w:t>
      </w:r>
      <w:r w:rsidRPr="0097232C">
        <w:t xml:space="preserve">г. составило </w:t>
      </w:r>
      <w:r>
        <w:t>6</w:t>
      </w:r>
      <w:r w:rsidR="00A74AB0">
        <w:t>15,1</w:t>
      </w:r>
      <w:r>
        <w:t xml:space="preserve"> </w:t>
      </w:r>
      <w:r w:rsidRPr="0097232C">
        <w:t>тыс. рублей</w:t>
      </w:r>
      <w:r w:rsidRPr="0097232C">
        <w:rPr>
          <w:color w:val="FF0000"/>
        </w:rPr>
        <w:t xml:space="preserve"> </w:t>
      </w:r>
      <w:r w:rsidRPr="0097232C">
        <w:t>(</w:t>
      </w:r>
      <w:r w:rsidR="00A74AB0">
        <w:t>73,4%</w:t>
      </w:r>
      <w:r w:rsidRPr="0097232C">
        <w:t xml:space="preserve"> от ожидаемого годового исполнения).</w:t>
      </w:r>
      <w:r w:rsidRPr="0097232C">
        <w:rPr>
          <w:color w:val="FF0000"/>
        </w:rPr>
        <w:t xml:space="preserve"> </w:t>
      </w:r>
      <w:r w:rsidRPr="0097232C">
        <w:t>Недоимка по данному налогу на 01.1</w:t>
      </w:r>
      <w:r>
        <w:t>0</w:t>
      </w:r>
      <w:r w:rsidRPr="0097232C">
        <w:t>.</w:t>
      </w:r>
      <w:r w:rsidR="00A74AB0">
        <w:t>2021</w:t>
      </w:r>
      <w:r w:rsidRPr="0097232C">
        <w:t xml:space="preserve">г. составляет </w:t>
      </w:r>
      <w:r w:rsidR="00A74AB0">
        <w:t>206,3</w:t>
      </w:r>
      <w:r>
        <w:t xml:space="preserve"> </w:t>
      </w:r>
      <w:r w:rsidRPr="0097232C">
        <w:t>тыс. руб.</w:t>
      </w:r>
      <w:r w:rsidRPr="00734488">
        <w:t xml:space="preserve"> </w:t>
      </w:r>
    </w:p>
    <w:p w:rsidR="00D80372" w:rsidRDefault="00D80372" w:rsidP="00D80372">
      <w:pPr>
        <w:ind w:left="-170" w:firstLine="567"/>
        <w:jc w:val="center"/>
        <w:rPr>
          <w:b/>
          <w:i/>
        </w:rPr>
      </w:pPr>
    </w:p>
    <w:p w:rsidR="00D80372" w:rsidRDefault="00D80372" w:rsidP="00D80372">
      <w:pPr>
        <w:ind w:left="-170" w:firstLine="567"/>
        <w:jc w:val="center"/>
        <w:rPr>
          <w:b/>
          <w:i/>
        </w:rPr>
      </w:pPr>
      <w:r w:rsidRPr="002C4322">
        <w:rPr>
          <w:b/>
          <w:i/>
        </w:rPr>
        <w:t>Налог на имущество физических лиц</w:t>
      </w:r>
    </w:p>
    <w:p w:rsidR="002A663E" w:rsidRDefault="00D80372" w:rsidP="00D80372">
      <w:pPr>
        <w:ind w:firstLine="567"/>
        <w:jc w:val="both"/>
      </w:pPr>
      <w:r>
        <w:t>По оценке поступления доход от налога на имущество физических лиц за 202</w:t>
      </w:r>
      <w:r w:rsidR="002A663E">
        <w:t>1</w:t>
      </w:r>
      <w:r>
        <w:t xml:space="preserve"> год составит</w:t>
      </w:r>
      <w:r w:rsidRPr="00C406F8">
        <w:rPr>
          <w:b/>
        </w:rPr>
        <w:t xml:space="preserve"> </w:t>
      </w:r>
      <w:r w:rsidRPr="009612DB">
        <w:t>1</w:t>
      </w:r>
      <w:r>
        <w:t>1</w:t>
      </w:r>
      <w:r w:rsidRPr="009612DB">
        <w:t xml:space="preserve">0 </w:t>
      </w:r>
      <w:r w:rsidRPr="00C406F8">
        <w:t>тыс. руб</w:t>
      </w:r>
      <w:r w:rsidRPr="00C406F8">
        <w:rPr>
          <w:b/>
        </w:rPr>
        <w:t>.</w:t>
      </w:r>
      <w:r>
        <w:rPr>
          <w:b/>
        </w:rPr>
        <w:t xml:space="preserve"> </w:t>
      </w:r>
      <w:r>
        <w:t>Прогноз</w:t>
      </w:r>
      <w:r w:rsidRPr="00B103B1">
        <w:t xml:space="preserve"> </w:t>
      </w:r>
      <w:r>
        <w:t>поступлений доходов от налога на имущество физических лиц на 202</w:t>
      </w:r>
      <w:r w:rsidR="002A663E">
        <w:t>2 году и на плановый период 2023-2024</w:t>
      </w:r>
      <w:r>
        <w:t>гг. составляет по</w:t>
      </w:r>
      <w:r w:rsidRPr="0098056A">
        <w:rPr>
          <w:b/>
        </w:rPr>
        <w:t xml:space="preserve"> 1</w:t>
      </w:r>
      <w:r>
        <w:rPr>
          <w:b/>
        </w:rPr>
        <w:t>1</w:t>
      </w:r>
      <w:r w:rsidRPr="0098056A">
        <w:rPr>
          <w:b/>
        </w:rPr>
        <w:t>0 тыс. руб</w:t>
      </w:r>
      <w:r>
        <w:t>. ежегодно, на уровне оценки 202</w:t>
      </w:r>
      <w:r w:rsidR="002A663E">
        <w:t>1</w:t>
      </w:r>
      <w:r>
        <w:t xml:space="preserve"> года. </w:t>
      </w:r>
      <w:r w:rsidR="002A663E" w:rsidRPr="00C406F8">
        <w:t xml:space="preserve">Фактическое </w:t>
      </w:r>
      <w:r w:rsidR="002A663E">
        <w:t>исполнение дохода от налога на имущество физических лиц за 10 месяцев 2021 года составило отрицательное значение м</w:t>
      </w:r>
      <w:r w:rsidR="00185BF7">
        <w:t xml:space="preserve">инус 8,9 тыс. руб. </w:t>
      </w:r>
      <w:r w:rsidR="002A663E">
        <w:t>Недоимка по данному виду налога на 01.10.2021г. составляет 50 тыс. руб.</w:t>
      </w:r>
    </w:p>
    <w:p w:rsidR="00D80372" w:rsidRDefault="002A663E" w:rsidP="00D80372">
      <w:pPr>
        <w:ind w:firstLine="567"/>
        <w:jc w:val="both"/>
      </w:pPr>
      <w:r>
        <w:t>Д</w:t>
      </w:r>
      <w:r w:rsidR="00D80372">
        <w:t>оля поступления налога на имущество физических лиц в общем объеме налоговых доходов составляет 3</w:t>
      </w:r>
      <w:r>
        <w:t>%</w:t>
      </w:r>
      <w:r w:rsidR="00D80372">
        <w:t>.</w:t>
      </w:r>
    </w:p>
    <w:p w:rsidR="00D80372" w:rsidRDefault="00D80372" w:rsidP="00D80372">
      <w:pPr>
        <w:ind w:firstLine="567"/>
        <w:jc w:val="center"/>
        <w:rPr>
          <w:b/>
          <w:i/>
        </w:rPr>
      </w:pPr>
    </w:p>
    <w:p w:rsidR="00D80372" w:rsidRPr="002C4322" w:rsidRDefault="00D80372" w:rsidP="00D80372">
      <w:pPr>
        <w:ind w:firstLine="567"/>
        <w:jc w:val="center"/>
        <w:rPr>
          <w:b/>
          <w:i/>
        </w:rPr>
      </w:pPr>
      <w:r w:rsidRPr="002C4322">
        <w:rPr>
          <w:b/>
          <w:i/>
        </w:rPr>
        <w:t>Единый сельскохозяйственный налог</w:t>
      </w:r>
    </w:p>
    <w:p w:rsidR="00D80372" w:rsidRDefault="00D80372" w:rsidP="00D80372">
      <w:pPr>
        <w:ind w:firstLine="567"/>
        <w:jc w:val="both"/>
      </w:pPr>
      <w:r w:rsidRPr="002C4322">
        <w:t>Прогноз поступлений н</w:t>
      </w:r>
      <w:r>
        <w:t>алога в бюджет поселения на 202</w:t>
      </w:r>
      <w:r w:rsidR="00B97A11">
        <w:t>2 год и на плановый период 2023</w:t>
      </w:r>
      <w:r>
        <w:t>-202</w:t>
      </w:r>
      <w:r w:rsidR="00B97A11">
        <w:t>4</w:t>
      </w:r>
      <w:r>
        <w:t xml:space="preserve">гг. составляет </w:t>
      </w:r>
      <w:r w:rsidRPr="00727944">
        <w:rPr>
          <w:b/>
        </w:rPr>
        <w:t xml:space="preserve">по </w:t>
      </w:r>
      <w:r w:rsidR="00B97A11">
        <w:rPr>
          <w:b/>
        </w:rPr>
        <w:t xml:space="preserve">860 </w:t>
      </w:r>
      <w:r w:rsidRPr="00727944">
        <w:rPr>
          <w:b/>
        </w:rPr>
        <w:t>тыс. руб</w:t>
      </w:r>
      <w:r>
        <w:t xml:space="preserve">. ежегодно, </w:t>
      </w:r>
      <w:r w:rsidR="00B97A11">
        <w:t>что составляет 86% к ожидаемым поступлениям 2021</w:t>
      </w:r>
      <w:r>
        <w:t xml:space="preserve"> года</w:t>
      </w:r>
      <w:r w:rsidR="00532027">
        <w:t xml:space="preserve"> (1000 тыс. руб.)</w:t>
      </w:r>
      <w:r>
        <w:t>. Согласно пояснительной записки прогноз поступлений ЕСХН осуществлен исходя из предварительных расчетов сельхозпредприятий СПК «Колхоз Труд» и КФХ «Воздвиженская А. Е.».</w:t>
      </w:r>
      <w:r w:rsidRPr="00B22984">
        <w:t xml:space="preserve"> </w:t>
      </w:r>
      <w:r>
        <w:t>Фактичес</w:t>
      </w:r>
      <w:r w:rsidR="00B97A11">
        <w:t>кое исполнение за 10 месяцев 2021</w:t>
      </w:r>
      <w:r>
        <w:t xml:space="preserve"> года составило </w:t>
      </w:r>
      <w:r w:rsidR="00532027">
        <w:t>817</w:t>
      </w:r>
      <w:r>
        <w:t xml:space="preserve"> тыс. руб., или </w:t>
      </w:r>
      <w:r w:rsidR="00532027">
        <w:t>82</w:t>
      </w:r>
      <w:r>
        <w:t>% от ожидаемого годового исполнения.</w:t>
      </w:r>
    </w:p>
    <w:p w:rsidR="00D80372" w:rsidRDefault="00D80372" w:rsidP="00177FAC">
      <w:pPr>
        <w:ind w:firstLine="567"/>
        <w:jc w:val="both"/>
        <w:rPr>
          <w:b/>
          <w:i/>
        </w:rPr>
      </w:pPr>
      <w:r>
        <w:t>Удельный вес единого сельскохозяйственного налога в общем объеме налоговых доходов составит 2</w:t>
      </w:r>
      <w:r w:rsidR="00532027">
        <w:t>3,6</w:t>
      </w:r>
      <w:r>
        <w:t>%.</w:t>
      </w:r>
    </w:p>
    <w:p w:rsidR="00D80372" w:rsidRPr="002C4322" w:rsidRDefault="00D80372" w:rsidP="00D80372">
      <w:pPr>
        <w:ind w:firstLine="567"/>
        <w:jc w:val="center"/>
        <w:rPr>
          <w:b/>
          <w:i/>
        </w:rPr>
      </w:pPr>
      <w:r w:rsidRPr="002C4322">
        <w:rPr>
          <w:b/>
          <w:i/>
        </w:rPr>
        <w:t>Государственная пошлина</w:t>
      </w:r>
    </w:p>
    <w:p w:rsidR="00D80372" w:rsidRDefault="00D80372" w:rsidP="00D80372">
      <w:pPr>
        <w:ind w:firstLine="567"/>
        <w:jc w:val="both"/>
        <w:rPr>
          <w:b/>
        </w:rPr>
      </w:pPr>
      <w:r w:rsidRPr="002C4322">
        <w:t xml:space="preserve">Данный вид дохода зачисляется в бюджет сельского поселения в результате нотариальной деятельности </w:t>
      </w:r>
      <w:r>
        <w:t>органов местного самоуправления и относится к слабо прогнозируемым, так как зависит от обращений граждан.</w:t>
      </w:r>
      <w:r w:rsidRPr="002C4322">
        <w:t xml:space="preserve"> Ожидаемая оценка за </w:t>
      </w:r>
      <w:r>
        <w:t>20</w:t>
      </w:r>
      <w:r w:rsidR="00532027">
        <w:t>21</w:t>
      </w:r>
      <w:r w:rsidRPr="002C4322">
        <w:t xml:space="preserve"> год </w:t>
      </w:r>
      <w:r w:rsidR="00532027">
        <w:t>–</w:t>
      </w:r>
      <w:r w:rsidRPr="002C4322">
        <w:t xml:space="preserve"> </w:t>
      </w:r>
      <w:r w:rsidR="00532027">
        <w:t xml:space="preserve">7,2 </w:t>
      </w:r>
      <w:r w:rsidRPr="002C4322">
        <w:t xml:space="preserve">тыс. руб. Фактическое исполнение за 10 месяцев </w:t>
      </w:r>
      <w:r w:rsidR="00532027">
        <w:t>2021</w:t>
      </w:r>
      <w:r w:rsidRPr="002C4322">
        <w:t xml:space="preserve"> года </w:t>
      </w:r>
      <w:r w:rsidR="00532027">
        <w:t>7,2</w:t>
      </w:r>
      <w:r>
        <w:t xml:space="preserve"> тыс. </w:t>
      </w:r>
      <w:r w:rsidR="00532027">
        <w:t>руб. Прогноз поступлений на 2022</w:t>
      </w:r>
      <w:r>
        <w:t xml:space="preserve"> и плановый период 202</w:t>
      </w:r>
      <w:r w:rsidR="00532027">
        <w:t>3</w:t>
      </w:r>
      <w:r>
        <w:t>-202</w:t>
      </w:r>
      <w:r w:rsidR="00532027">
        <w:t>4</w:t>
      </w:r>
      <w:r>
        <w:t>гг. по 6,3 тыс. руб. ежегодно. Удельный вес поступлений госпошлины в объеме налоговых доходов за анализируемые периоды составляет 0,2%.</w:t>
      </w:r>
      <w:r w:rsidRPr="00EE1C93">
        <w:rPr>
          <w:b/>
        </w:rPr>
        <w:t xml:space="preserve">     </w:t>
      </w:r>
    </w:p>
    <w:p w:rsidR="00D80372" w:rsidRPr="00B910AB" w:rsidRDefault="00D80372" w:rsidP="00D80372">
      <w:pPr>
        <w:ind w:firstLine="567"/>
        <w:jc w:val="center"/>
        <w:rPr>
          <w:b/>
          <w:u w:val="single"/>
        </w:rPr>
      </w:pPr>
      <w:r w:rsidRPr="00B910AB">
        <w:rPr>
          <w:b/>
          <w:u w:val="single"/>
        </w:rPr>
        <w:t>Ненал</w:t>
      </w:r>
      <w:r>
        <w:rPr>
          <w:b/>
          <w:u w:val="single"/>
        </w:rPr>
        <w:t>оговые доходы бюджета поселения</w:t>
      </w:r>
    </w:p>
    <w:p w:rsidR="00D80372" w:rsidRDefault="00D80372" w:rsidP="00D80372">
      <w:pPr>
        <w:ind w:firstLine="567"/>
        <w:jc w:val="both"/>
      </w:pPr>
      <w:r>
        <w:t>При ожидаемом поступлении в 202</w:t>
      </w:r>
      <w:r w:rsidR="00BE22BD">
        <w:t>1</w:t>
      </w:r>
      <w:r>
        <w:t xml:space="preserve"> году в сумме </w:t>
      </w:r>
      <w:r w:rsidR="00BE22BD">
        <w:t>58,9</w:t>
      </w:r>
      <w:r>
        <w:t xml:space="preserve"> тыс. руб. удельный вес неналоговых доходов в общей сумме налоговых и неналоговых доходов составит </w:t>
      </w:r>
      <w:r w:rsidR="00BE22BD">
        <w:t>1,6</w:t>
      </w:r>
      <w:r>
        <w:t xml:space="preserve">% и </w:t>
      </w:r>
      <w:r w:rsidR="00BE22BD">
        <w:t>0,2</w:t>
      </w:r>
      <w:r>
        <w:t>% в общей сумме доходов поселения.</w:t>
      </w:r>
      <w:r w:rsidRPr="001D052C">
        <w:t xml:space="preserve"> </w:t>
      </w:r>
      <w:r>
        <w:t>На 202</w:t>
      </w:r>
      <w:r w:rsidR="00BE22BD">
        <w:t xml:space="preserve">2 </w:t>
      </w:r>
      <w:r>
        <w:t xml:space="preserve">год неналоговые доходы прогнозируются в сумме </w:t>
      </w:r>
      <w:r w:rsidR="00BE22BD">
        <w:rPr>
          <w:b/>
        </w:rPr>
        <w:t xml:space="preserve">74,9 </w:t>
      </w:r>
      <w:r w:rsidRPr="001D5A00">
        <w:rPr>
          <w:b/>
        </w:rPr>
        <w:t>тыс. руб</w:t>
      </w:r>
      <w:r>
        <w:t xml:space="preserve">., или </w:t>
      </w:r>
      <w:r w:rsidR="00BE22BD">
        <w:t>127,2% к ожидаемым поступлениям 2021 года.</w:t>
      </w:r>
      <w:r>
        <w:t xml:space="preserve"> На</w:t>
      </w:r>
      <w:r w:rsidRPr="00395FE3">
        <w:t xml:space="preserve"> плановый период</w:t>
      </w:r>
      <w:r>
        <w:t xml:space="preserve"> 202</w:t>
      </w:r>
      <w:r w:rsidR="00BE22BD">
        <w:t>3</w:t>
      </w:r>
      <w:r>
        <w:t>-202</w:t>
      </w:r>
      <w:r w:rsidR="00BE22BD">
        <w:t>4</w:t>
      </w:r>
      <w:r>
        <w:t xml:space="preserve">гг. – по </w:t>
      </w:r>
      <w:r w:rsidR="00BE22BD">
        <w:t xml:space="preserve">75,4 </w:t>
      </w:r>
      <w:r>
        <w:t>тыс.</w:t>
      </w:r>
      <w:r w:rsidR="00095638">
        <w:t xml:space="preserve"> </w:t>
      </w:r>
      <w:r>
        <w:t>руб.</w:t>
      </w:r>
      <w:r w:rsidR="00095638">
        <w:t xml:space="preserve"> </w:t>
      </w:r>
      <w:r>
        <w:t>ежегодно.</w:t>
      </w:r>
      <w:r w:rsidRPr="00395FE3">
        <w:t xml:space="preserve"> </w:t>
      </w:r>
      <w:r>
        <w:t xml:space="preserve">Неналоговые доходы на очередной финансовый год и плановый период слаживаются из доходов от оказания платных услуг, компенсации затрат бюджета поселения и </w:t>
      </w:r>
      <w:r w:rsidRPr="00B75BC4">
        <w:t xml:space="preserve">доходов от сдачи в аренду имущества, находящегося в </w:t>
      </w:r>
      <w:r>
        <w:t>муниципальной собственности.</w:t>
      </w:r>
    </w:p>
    <w:p w:rsidR="00D80372" w:rsidRDefault="00D80372" w:rsidP="00D80372">
      <w:pPr>
        <w:ind w:firstLine="567"/>
        <w:rPr>
          <w:b/>
          <w:i/>
        </w:rPr>
      </w:pPr>
    </w:p>
    <w:p w:rsidR="00D80372" w:rsidRPr="002C4322" w:rsidRDefault="00D80372" w:rsidP="00D80372">
      <w:pPr>
        <w:ind w:firstLine="567"/>
        <w:jc w:val="center"/>
        <w:rPr>
          <w:b/>
          <w:i/>
        </w:rPr>
      </w:pPr>
      <w:r w:rsidRPr="002C4322">
        <w:rPr>
          <w:b/>
          <w:i/>
        </w:rPr>
        <w:t>Доходы от оказания платных услуг</w:t>
      </w:r>
    </w:p>
    <w:p w:rsidR="00095638" w:rsidRPr="00C51DD9" w:rsidRDefault="00D80372" w:rsidP="00095638">
      <w:pPr>
        <w:ind w:firstLine="567"/>
        <w:jc w:val="both"/>
        <w:rPr>
          <w:b/>
        </w:rPr>
      </w:pPr>
      <w:r>
        <w:t>В 202</w:t>
      </w:r>
      <w:r w:rsidR="0055749C">
        <w:t>1</w:t>
      </w:r>
      <w:r>
        <w:t xml:space="preserve"> году от платных услуг ожидается поступление в размере </w:t>
      </w:r>
      <w:r w:rsidR="0055749C">
        <w:t>26</w:t>
      </w:r>
      <w:r>
        <w:t xml:space="preserve"> тыс. руб. Согласно представленного реестра источников доходов бюджета кассовое поступление доходов от </w:t>
      </w:r>
      <w:r>
        <w:lastRenderedPageBreak/>
        <w:t>оказания платных услуг текущего финансового го</w:t>
      </w:r>
      <w:r w:rsidR="0055749C">
        <w:t>да по состоянию на 1 ноября 2021</w:t>
      </w:r>
      <w:r>
        <w:t xml:space="preserve"> года </w:t>
      </w:r>
      <w:r w:rsidRPr="002C4322">
        <w:t>состав</w:t>
      </w:r>
      <w:r>
        <w:t>ило</w:t>
      </w:r>
      <w:r w:rsidRPr="002C4322">
        <w:t xml:space="preserve"> </w:t>
      </w:r>
      <w:r w:rsidR="0055749C">
        <w:t>26</w:t>
      </w:r>
      <w:r w:rsidRPr="002C4322">
        <w:t xml:space="preserve"> тыс. руб.</w:t>
      </w:r>
      <w:r>
        <w:t xml:space="preserve">, или </w:t>
      </w:r>
      <w:r w:rsidR="0055749C">
        <w:t>100</w:t>
      </w:r>
      <w:r>
        <w:t>% от ожидаемого годового исполнения.</w:t>
      </w:r>
      <w:r w:rsidRPr="002C4322">
        <w:t xml:space="preserve"> </w:t>
      </w:r>
      <w:r w:rsidR="0055749C">
        <w:t>На 2022</w:t>
      </w:r>
      <w:r>
        <w:t xml:space="preserve"> год доходы запланированы </w:t>
      </w:r>
      <w:r w:rsidR="00095638">
        <w:t xml:space="preserve">в размере </w:t>
      </w:r>
      <w:r w:rsidR="00095638">
        <w:rPr>
          <w:b/>
        </w:rPr>
        <w:t xml:space="preserve">42 тыс. руб., </w:t>
      </w:r>
      <w:r w:rsidR="00095638">
        <w:t xml:space="preserve">или 161,5% к оценке 2021 года. На плановый период 2023-2024 гг. по 42,5 тыс. руб. ежегодно. Доходы прогнозируются от оказания платных услуг учреждением культуры. </w:t>
      </w:r>
      <w:r w:rsidR="00095638" w:rsidRPr="00C51DD9">
        <w:rPr>
          <w:b/>
        </w:rPr>
        <w:t>Обоснования в пояснительной</w:t>
      </w:r>
      <w:r w:rsidR="00095638">
        <w:rPr>
          <w:b/>
        </w:rPr>
        <w:t xml:space="preserve"> записке к проекту </w:t>
      </w:r>
      <w:r w:rsidR="00DA1480">
        <w:rPr>
          <w:b/>
        </w:rPr>
        <w:t xml:space="preserve">бюджета </w:t>
      </w:r>
      <w:r w:rsidR="00DA1480" w:rsidRPr="00C51DD9">
        <w:rPr>
          <w:b/>
        </w:rPr>
        <w:t>отсутствуют</w:t>
      </w:r>
      <w:r w:rsidR="00095638" w:rsidRPr="00C51DD9">
        <w:rPr>
          <w:b/>
        </w:rPr>
        <w:t>.</w:t>
      </w:r>
    </w:p>
    <w:p w:rsidR="00D80372" w:rsidRPr="002C4322" w:rsidRDefault="00D80372" w:rsidP="00D80372">
      <w:pPr>
        <w:ind w:firstLine="567"/>
        <w:jc w:val="both"/>
      </w:pPr>
      <w:r>
        <w:t xml:space="preserve"> </w:t>
      </w:r>
      <w:r w:rsidRPr="002C4322">
        <w:t xml:space="preserve">Удельный вес доходов от </w:t>
      </w:r>
      <w:r>
        <w:t>оказания платных услуг</w:t>
      </w:r>
      <w:r w:rsidRPr="002C4322">
        <w:t xml:space="preserve"> в общем объеме </w:t>
      </w:r>
      <w:r>
        <w:t>налоговых и неналоговых</w:t>
      </w:r>
      <w:r w:rsidRPr="002C4322">
        <w:t xml:space="preserve"> доходов на </w:t>
      </w:r>
      <w:r>
        <w:t>202</w:t>
      </w:r>
      <w:r w:rsidR="00DA1480">
        <w:t>2-2024</w:t>
      </w:r>
      <w:r>
        <w:t>гг.</w:t>
      </w:r>
      <w:r w:rsidRPr="002C4322">
        <w:t xml:space="preserve"> составляет </w:t>
      </w:r>
      <w:r w:rsidR="00DA1480">
        <w:t>1,1</w:t>
      </w:r>
      <w:r>
        <w:t>%.</w:t>
      </w:r>
    </w:p>
    <w:p w:rsidR="00D80372" w:rsidRPr="00215B09" w:rsidRDefault="00D80372" w:rsidP="00D80372">
      <w:pPr>
        <w:ind w:firstLine="567"/>
        <w:jc w:val="both"/>
      </w:pPr>
    </w:p>
    <w:p w:rsidR="00D80372" w:rsidRDefault="00D80372" w:rsidP="00D80372">
      <w:pPr>
        <w:ind w:firstLine="567"/>
        <w:jc w:val="center"/>
        <w:rPr>
          <w:b/>
          <w:i/>
        </w:rPr>
      </w:pPr>
      <w:r>
        <w:rPr>
          <w:b/>
          <w:i/>
        </w:rPr>
        <w:t xml:space="preserve">Доходы от использования имущества, находящегося </w:t>
      </w:r>
    </w:p>
    <w:p w:rsidR="00D80372" w:rsidRDefault="00D80372" w:rsidP="00D80372">
      <w:pPr>
        <w:ind w:firstLine="567"/>
        <w:jc w:val="center"/>
        <w:rPr>
          <w:b/>
          <w:i/>
        </w:rPr>
      </w:pP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муниципальной собственности.</w:t>
      </w:r>
    </w:p>
    <w:p w:rsidR="00D80372" w:rsidRDefault="00D80372" w:rsidP="00D80372">
      <w:pPr>
        <w:ind w:firstLine="567"/>
        <w:jc w:val="both"/>
      </w:pPr>
      <w:r w:rsidRPr="0041551D">
        <w:t xml:space="preserve">Доходы от использования имущества прогнозируются на </w:t>
      </w:r>
      <w:r>
        <w:t>202</w:t>
      </w:r>
      <w:r w:rsidR="00DA1480">
        <w:t>2</w:t>
      </w:r>
      <w:r w:rsidRPr="0041551D">
        <w:t xml:space="preserve"> год </w:t>
      </w:r>
      <w:r>
        <w:t xml:space="preserve">и каждый год планового периода </w:t>
      </w:r>
      <w:r w:rsidRPr="0041551D">
        <w:t>в</w:t>
      </w:r>
      <w:r>
        <w:t xml:space="preserve"> размере </w:t>
      </w:r>
      <w:r w:rsidR="00DA1480">
        <w:rPr>
          <w:b/>
        </w:rPr>
        <w:t xml:space="preserve">28 </w:t>
      </w:r>
      <w:r w:rsidRPr="001611B6">
        <w:rPr>
          <w:b/>
        </w:rPr>
        <w:t>тыс. руб.,</w:t>
      </w:r>
      <w:r w:rsidRPr="0041551D">
        <w:t xml:space="preserve"> или </w:t>
      </w:r>
      <w:r>
        <w:t>10</w:t>
      </w:r>
      <w:r w:rsidRPr="0041551D">
        <w:t xml:space="preserve">0% к оценке </w:t>
      </w:r>
      <w:r w:rsidR="00DA1480">
        <w:t>2021</w:t>
      </w:r>
      <w:r w:rsidRPr="0041551D">
        <w:t xml:space="preserve"> года</w:t>
      </w:r>
      <w:r>
        <w:t>.</w:t>
      </w:r>
      <w:r w:rsidRPr="0041551D">
        <w:t xml:space="preserve"> </w:t>
      </w:r>
      <w:r>
        <w:t>Согласно представленного реестра источников доходов бюджета кассовое поступление доходов от использования имущества текущего финансового го</w:t>
      </w:r>
      <w:r w:rsidR="00DA1480">
        <w:t>да по состоянию на 1 ноября 2021</w:t>
      </w:r>
      <w:r>
        <w:t xml:space="preserve"> года </w:t>
      </w:r>
      <w:r w:rsidRPr="002C4322">
        <w:t>состав</w:t>
      </w:r>
      <w:r>
        <w:t>ило</w:t>
      </w:r>
      <w:r w:rsidRPr="002C4322">
        <w:t xml:space="preserve"> </w:t>
      </w:r>
      <w:r w:rsidR="00DA1480">
        <w:t>28</w:t>
      </w:r>
      <w:r w:rsidRPr="002C4322">
        <w:t xml:space="preserve"> тыс. руб.</w:t>
      </w:r>
      <w:r>
        <w:t xml:space="preserve"> Поступление доходов от использования имущества планируется от аренды помещения в здании учреждения культуры.</w:t>
      </w:r>
    </w:p>
    <w:p w:rsidR="00D80372" w:rsidRDefault="00D80372" w:rsidP="00D80372">
      <w:pPr>
        <w:ind w:firstLine="567"/>
        <w:jc w:val="both"/>
      </w:pPr>
    </w:p>
    <w:p w:rsidR="00D80372" w:rsidRDefault="00D80372" w:rsidP="00D80372">
      <w:pPr>
        <w:ind w:firstLine="567"/>
        <w:jc w:val="center"/>
        <w:rPr>
          <w:b/>
          <w:i/>
        </w:rPr>
      </w:pPr>
      <w:r w:rsidRPr="00E43631">
        <w:rPr>
          <w:b/>
          <w:i/>
        </w:rPr>
        <w:t xml:space="preserve">Доходы от </w:t>
      </w:r>
      <w:r>
        <w:rPr>
          <w:b/>
          <w:i/>
        </w:rPr>
        <w:t>компенсации затрат бюджета поселения</w:t>
      </w:r>
    </w:p>
    <w:p w:rsidR="00D80372" w:rsidRPr="00E43631" w:rsidRDefault="00D80372" w:rsidP="00D80372">
      <w:pPr>
        <w:ind w:firstLine="567"/>
        <w:jc w:val="both"/>
      </w:pPr>
      <w:r w:rsidRPr="00E43631">
        <w:t xml:space="preserve">Доходы от компенсации затрат бюджета поселения прогнозируются на </w:t>
      </w:r>
      <w:r>
        <w:t>202</w:t>
      </w:r>
      <w:r w:rsidR="00DA1480">
        <w:t>2</w:t>
      </w:r>
      <w:r w:rsidRPr="00E43631">
        <w:t xml:space="preserve"> год </w:t>
      </w:r>
      <w:r>
        <w:t>и плановый период</w:t>
      </w:r>
      <w:r w:rsidRPr="00E43631">
        <w:t xml:space="preserve"> в сумме </w:t>
      </w:r>
      <w:r>
        <w:t>по 4,9</w:t>
      </w:r>
      <w:r w:rsidRPr="00E43631">
        <w:t>тыс. руб.</w:t>
      </w:r>
      <w:r>
        <w:t xml:space="preserve"> ежегодно</w:t>
      </w:r>
      <w:r w:rsidRPr="00E43631">
        <w:t xml:space="preserve">, или 100% к ожидаемому поступлению </w:t>
      </w:r>
      <w:r>
        <w:t>202</w:t>
      </w:r>
      <w:r w:rsidR="00DA1480">
        <w:t>1</w:t>
      </w:r>
      <w:r w:rsidRPr="00E43631">
        <w:t xml:space="preserve"> года. Данный вид дохода планируется от возмещения затрат за услуги энергоснабжения </w:t>
      </w:r>
      <w:r>
        <w:t>водозаборными сооружениями</w:t>
      </w:r>
      <w:r w:rsidRPr="00E43631">
        <w:t>.</w:t>
      </w:r>
    </w:p>
    <w:p w:rsidR="00D80372" w:rsidRPr="00E43631" w:rsidRDefault="00D80372" w:rsidP="00D80372">
      <w:pPr>
        <w:ind w:firstLine="567"/>
        <w:jc w:val="both"/>
      </w:pPr>
    </w:p>
    <w:p w:rsidR="00D80372" w:rsidRPr="00AA07EA" w:rsidRDefault="00D80372" w:rsidP="00D80372">
      <w:pPr>
        <w:tabs>
          <w:tab w:val="left" w:pos="567"/>
        </w:tabs>
        <w:ind w:firstLine="567"/>
        <w:jc w:val="center"/>
        <w:rPr>
          <w:b/>
          <w:u w:val="single"/>
        </w:rPr>
      </w:pPr>
      <w:r w:rsidRPr="00AA07EA">
        <w:rPr>
          <w:b/>
          <w:u w:val="single"/>
        </w:rPr>
        <w:t>Безвозмездные поступления</w:t>
      </w:r>
    </w:p>
    <w:p w:rsidR="00D80372" w:rsidRDefault="00D80372" w:rsidP="00D80372">
      <w:pPr>
        <w:ind w:firstLine="567"/>
        <w:jc w:val="both"/>
      </w:pPr>
      <w:r w:rsidRPr="00AD408F">
        <w:t xml:space="preserve">Объем безвозмездных поступлений в бюджет </w:t>
      </w:r>
      <w:proofErr w:type="spellStart"/>
      <w:r>
        <w:t>Каразейс</w:t>
      </w:r>
      <w:r w:rsidRPr="00AD408F">
        <w:t>кого</w:t>
      </w:r>
      <w:proofErr w:type="spellEnd"/>
      <w:r w:rsidRPr="00AD408F">
        <w:t xml:space="preserve"> муниципального образования определен в соответствии с проектом закона Иркутской области «Об областном бюджете на </w:t>
      </w:r>
      <w:r>
        <w:t>202</w:t>
      </w:r>
      <w:r w:rsidR="006B21F0">
        <w:t>2</w:t>
      </w:r>
      <w:r w:rsidRPr="00AD408F">
        <w:t xml:space="preserve"> год и плановый период </w:t>
      </w:r>
      <w:r>
        <w:t>202</w:t>
      </w:r>
      <w:r w:rsidR="006B21F0">
        <w:t>3</w:t>
      </w:r>
      <w:r w:rsidRPr="00AD408F">
        <w:t xml:space="preserve"> и </w:t>
      </w:r>
      <w:r>
        <w:t>202</w:t>
      </w:r>
      <w:r w:rsidR="006B21F0">
        <w:t>4</w:t>
      </w:r>
      <w:r w:rsidRPr="00AD408F">
        <w:t xml:space="preserve"> годов», проектом решения Думы МО Куйтунский «О бюджете МО Куйтунский район на </w:t>
      </w:r>
      <w:r>
        <w:t>20</w:t>
      </w:r>
      <w:r w:rsidR="006B21F0">
        <w:t>22</w:t>
      </w:r>
      <w:r w:rsidRPr="00AD408F">
        <w:t xml:space="preserve"> год и плановый период </w:t>
      </w:r>
      <w:r>
        <w:t>202</w:t>
      </w:r>
      <w:r w:rsidR="006B21F0">
        <w:t>3</w:t>
      </w:r>
      <w:r w:rsidRPr="00AD408F">
        <w:t xml:space="preserve"> и </w:t>
      </w:r>
      <w:r w:rsidR="006B21F0">
        <w:t xml:space="preserve">2024 </w:t>
      </w:r>
      <w:r w:rsidRPr="00AD408F">
        <w:t>годов».</w:t>
      </w:r>
    </w:p>
    <w:p w:rsidR="00D80372" w:rsidRPr="00BE7780" w:rsidRDefault="00D80372" w:rsidP="00D80372">
      <w:pPr>
        <w:ind w:firstLine="567"/>
        <w:jc w:val="both"/>
      </w:pPr>
      <w:r>
        <w:t>Б</w:t>
      </w:r>
      <w:r w:rsidRPr="00BE7780">
        <w:t>езвозмездны</w:t>
      </w:r>
      <w:r>
        <w:t>е поступления</w:t>
      </w:r>
      <w:r w:rsidRPr="00BE7780">
        <w:t xml:space="preserve"> от других бюджетов бюджетной системы РФ </w:t>
      </w:r>
      <w:r w:rsidRPr="00737EAB">
        <w:t xml:space="preserve">на </w:t>
      </w:r>
      <w:r>
        <w:t>202</w:t>
      </w:r>
      <w:r w:rsidR="006B21F0">
        <w:t>2</w:t>
      </w:r>
      <w:r w:rsidRPr="00737EAB">
        <w:t xml:space="preserve"> год запланирован</w:t>
      </w:r>
      <w:r>
        <w:t>ы</w:t>
      </w:r>
      <w:r w:rsidRPr="00737EAB">
        <w:t xml:space="preserve"> в сумме </w:t>
      </w:r>
      <w:r>
        <w:t>8</w:t>
      </w:r>
      <w:r w:rsidR="006B21F0">
        <w:t xml:space="preserve">814 </w:t>
      </w:r>
      <w:r w:rsidRPr="00737EAB">
        <w:t xml:space="preserve">тыс. руб., или </w:t>
      </w:r>
      <w:r w:rsidR="006B21F0">
        <w:t>31,4</w:t>
      </w:r>
      <w:r>
        <w:t>%</w:t>
      </w:r>
      <w:r w:rsidRPr="00737EAB">
        <w:t xml:space="preserve"> к ожидаемому поступлению </w:t>
      </w:r>
      <w:r>
        <w:t>202</w:t>
      </w:r>
      <w:r w:rsidR="006B21F0">
        <w:t>1</w:t>
      </w:r>
      <w:r w:rsidRPr="00737EAB">
        <w:t xml:space="preserve"> года. В </w:t>
      </w:r>
      <w:r>
        <w:t>202</w:t>
      </w:r>
      <w:r w:rsidR="006B21F0">
        <w:t>3</w:t>
      </w:r>
      <w:r w:rsidRPr="00737EAB">
        <w:t xml:space="preserve"> году – </w:t>
      </w:r>
      <w:r w:rsidR="006B21F0">
        <w:t>6003,7</w:t>
      </w:r>
      <w:r w:rsidRPr="00737EAB">
        <w:t xml:space="preserve"> тыс. руб.</w:t>
      </w:r>
      <w:r>
        <w:t>,</w:t>
      </w:r>
      <w:r w:rsidRPr="00737EAB">
        <w:t xml:space="preserve"> или </w:t>
      </w:r>
      <w:r w:rsidR="006B21F0">
        <w:t>68,1</w:t>
      </w:r>
      <w:r w:rsidRPr="00737EAB">
        <w:t xml:space="preserve">% к уровню </w:t>
      </w:r>
      <w:r w:rsidR="006B21F0">
        <w:t>2022</w:t>
      </w:r>
      <w:r w:rsidRPr="00737EAB">
        <w:t xml:space="preserve"> года, в </w:t>
      </w:r>
      <w:r>
        <w:t>202</w:t>
      </w:r>
      <w:r w:rsidR="006B21F0">
        <w:t>4</w:t>
      </w:r>
      <w:r w:rsidRPr="00737EAB">
        <w:t xml:space="preserve"> году –</w:t>
      </w:r>
      <w:r>
        <w:t xml:space="preserve"> </w:t>
      </w:r>
      <w:r w:rsidR="006B21F0">
        <w:t>12172,3</w:t>
      </w:r>
      <w:r>
        <w:t xml:space="preserve"> тыс. руб., или </w:t>
      </w:r>
      <w:r w:rsidR="006B21F0">
        <w:t>202,7</w:t>
      </w:r>
      <w:r w:rsidRPr="00737EAB">
        <w:t xml:space="preserve">% к уровню </w:t>
      </w:r>
      <w:r w:rsidR="00EE5078">
        <w:t>2023</w:t>
      </w:r>
      <w:r w:rsidR="00215D07">
        <w:t xml:space="preserve"> года, в том числе:</w:t>
      </w:r>
    </w:p>
    <w:p w:rsidR="00625F47" w:rsidRDefault="00D80372" w:rsidP="00D80372">
      <w:pPr>
        <w:ind w:firstLine="567"/>
        <w:jc w:val="both"/>
      </w:pPr>
      <w:r>
        <w:t xml:space="preserve">- дотации </w:t>
      </w:r>
      <w:r w:rsidRPr="00737EAB">
        <w:t>на выравнивание бюджетной обеспеченности поселения</w:t>
      </w:r>
      <w:r>
        <w:t xml:space="preserve"> (из районного бюджета)</w:t>
      </w:r>
      <w:r w:rsidRPr="00737EAB">
        <w:t xml:space="preserve"> </w:t>
      </w:r>
      <w:r>
        <w:t xml:space="preserve">запланированы на 2021 год в сумме </w:t>
      </w:r>
      <w:r w:rsidR="00215D07">
        <w:t>8073,9</w:t>
      </w:r>
      <w:r>
        <w:t xml:space="preserve"> тыс. руб., что </w:t>
      </w:r>
      <w:r w:rsidR="00C46175">
        <w:t>меньше ожидаемого исполнения 2021</w:t>
      </w:r>
      <w:r>
        <w:t xml:space="preserve"> года на 2953,9</w:t>
      </w:r>
      <w:r w:rsidR="00625F47">
        <w:t xml:space="preserve"> </w:t>
      </w:r>
      <w:r>
        <w:t>тыс.</w:t>
      </w:r>
      <w:r w:rsidR="00625F47">
        <w:t xml:space="preserve"> </w:t>
      </w:r>
      <w:r>
        <w:t>руб. В 202</w:t>
      </w:r>
      <w:r w:rsidR="00625F47">
        <w:t>3</w:t>
      </w:r>
      <w:r>
        <w:t xml:space="preserve"> году дотации запланированы в объеме </w:t>
      </w:r>
      <w:r w:rsidR="00625F47">
        <w:t>5577,4 тыс. руб., в 2024</w:t>
      </w:r>
      <w:r>
        <w:t xml:space="preserve"> году – </w:t>
      </w:r>
      <w:r w:rsidR="00625F47">
        <w:t>11740,7</w:t>
      </w:r>
      <w:r>
        <w:t xml:space="preserve"> тыс. руб.</w:t>
      </w:r>
    </w:p>
    <w:p w:rsidR="00A4277B" w:rsidRDefault="00A4277B" w:rsidP="00A4277B">
      <w:pPr>
        <w:ind w:firstLine="539"/>
        <w:jc w:val="both"/>
      </w:pPr>
      <w:r>
        <w:t>- с</w:t>
      </w:r>
      <w:r w:rsidRPr="00E00E58">
        <w:t>убвенци</w:t>
      </w:r>
      <w:r>
        <w:t>и</w:t>
      </w:r>
      <w:r w:rsidRPr="00E00E58">
        <w:t xml:space="preserve"> (на осуществление первичного воинского учета, на выполнение государственных полномочий составлять протоколы об административных правонарушениях</w:t>
      </w:r>
      <w:r>
        <w:t>, по регулированию тарифов ЖКХ</w:t>
      </w:r>
      <w:r w:rsidRPr="00E00E58">
        <w:t>) запланирован</w:t>
      </w:r>
      <w:r>
        <w:t>ы</w:t>
      </w:r>
      <w:r w:rsidRPr="00E00E58">
        <w:t xml:space="preserve"> на </w:t>
      </w:r>
      <w:r>
        <w:t>2022</w:t>
      </w:r>
      <w:r w:rsidRPr="00E00E58">
        <w:t xml:space="preserve"> год</w:t>
      </w:r>
      <w:r>
        <w:t xml:space="preserve"> в сумме 191,4 тыс. руб., или 100,5 к ожидаемому исполнению 2021 года, на 2023г. – 196,4 тыс. руб., или 102,6% к уровню 2022г., на 2024. – 201,7 тыс. руб., или 102,7 % к уровню 2023г.</w:t>
      </w:r>
    </w:p>
    <w:p w:rsidR="005338D3" w:rsidRDefault="00CE3213" w:rsidP="00CE3213">
      <w:pPr>
        <w:ind w:firstLine="567"/>
        <w:jc w:val="both"/>
      </w:pPr>
      <w:r>
        <w:t>- субсидии на реализацию мероприятий народных инициатив по 229,9 тыс. руб. ежегодно.</w:t>
      </w:r>
      <w:r w:rsidRPr="003743B4">
        <w:t xml:space="preserve"> </w:t>
      </w:r>
    </w:p>
    <w:p w:rsidR="005338D3" w:rsidRDefault="00CE3213" w:rsidP="00CE3213">
      <w:pPr>
        <w:ind w:firstLine="567"/>
        <w:jc w:val="both"/>
      </w:pPr>
      <w:r w:rsidRPr="005338D3">
        <w:t>- субсиди</w:t>
      </w:r>
      <w:r w:rsidR="005338D3">
        <w:t>и</w:t>
      </w:r>
      <w:r w:rsidRPr="005338D3">
        <w:t xml:space="preserve"> на реализацию программ формирования современной городской среды </w:t>
      </w:r>
      <w:r w:rsidR="005338D3" w:rsidRPr="005338D3">
        <w:t xml:space="preserve">предусмотрены </w:t>
      </w:r>
      <w:r w:rsidRPr="005338D3">
        <w:t>на 2022 год в объеме 318,8 тыс. руб.</w:t>
      </w:r>
      <w:r w:rsidR="00413BBA">
        <w:t xml:space="preserve"> в соответствии с постановлением Правительства Иркутской области от 28.09.2021 № 693-пп «О внесении изменения в приложение 4 к Положению о предоставлении субсидий из областного бюджета местным бюджетам в целях софинансирования расходных обязательств муниципальных </w:t>
      </w:r>
      <w:r w:rsidR="00A17204">
        <w:t>образований Иркутской области на поддержку муниципальных программ формирования современной городской среды» (уведомление по расчетам между бюджетами № 6422 от 06.10.2021г. – министерства жилищной политики и энергетики Иркутской области).</w:t>
      </w:r>
    </w:p>
    <w:p w:rsidR="00D80372" w:rsidRPr="004E4D39" w:rsidRDefault="00D80372" w:rsidP="00D80372">
      <w:pPr>
        <w:autoSpaceDE w:val="0"/>
        <w:autoSpaceDN w:val="0"/>
        <w:adjustRightInd w:val="0"/>
        <w:ind w:firstLine="540"/>
        <w:jc w:val="center"/>
        <w:rPr>
          <w:rFonts w:eastAsia="SimSun"/>
          <w:b/>
        </w:rPr>
      </w:pPr>
      <w:r>
        <w:rPr>
          <w:rFonts w:eastAsia="SimSun"/>
          <w:b/>
        </w:rPr>
        <w:lastRenderedPageBreak/>
        <w:t>3</w:t>
      </w:r>
      <w:r w:rsidRPr="00E74888">
        <w:rPr>
          <w:rFonts w:eastAsia="SimSun"/>
          <w:b/>
        </w:rPr>
        <w:t>.</w:t>
      </w:r>
      <w:r>
        <w:rPr>
          <w:rFonts w:eastAsia="SimSun"/>
          <w:b/>
        </w:rPr>
        <w:t>2</w:t>
      </w:r>
      <w:r w:rsidRPr="00E74888">
        <w:rPr>
          <w:rFonts w:eastAsia="SimSun"/>
          <w:b/>
        </w:rPr>
        <w:t xml:space="preserve"> </w:t>
      </w:r>
      <w:r w:rsidRPr="004E4D39">
        <w:rPr>
          <w:rFonts w:eastAsia="SimSun"/>
          <w:b/>
        </w:rPr>
        <w:t xml:space="preserve">Характеристика проекта бюджета </w:t>
      </w:r>
      <w:proofErr w:type="spellStart"/>
      <w:r>
        <w:rPr>
          <w:rFonts w:eastAsia="SimSun"/>
          <w:b/>
        </w:rPr>
        <w:t>Каразейского</w:t>
      </w:r>
      <w:proofErr w:type="spellEnd"/>
      <w:r w:rsidRPr="004E4D39">
        <w:rPr>
          <w:rFonts w:eastAsia="SimSun"/>
          <w:b/>
        </w:rPr>
        <w:t xml:space="preserve"> МО по </w:t>
      </w:r>
      <w:r>
        <w:rPr>
          <w:rFonts w:eastAsia="SimSun"/>
          <w:b/>
        </w:rPr>
        <w:t>рас</w:t>
      </w:r>
      <w:r w:rsidRPr="004E4D39">
        <w:rPr>
          <w:rFonts w:eastAsia="SimSun"/>
          <w:b/>
        </w:rPr>
        <w:t>ходам</w:t>
      </w:r>
    </w:p>
    <w:p w:rsidR="00D80372" w:rsidRDefault="00D80372" w:rsidP="00D80372">
      <w:pPr>
        <w:autoSpaceDE w:val="0"/>
        <w:autoSpaceDN w:val="0"/>
        <w:adjustRightInd w:val="0"/>
        <w:ind w:firstLine="540"/>
        <w:jc w:val="center"/>
        <w:rPr>
          <w:rFonts w:eastAsia="SimSun"/>
          <w:b/>
        </w:rPr>
      </w:pPr>
      <w:proofErr w:type="gramStart"/>
      <w:r w:rsidRPr="004E4D39">
        <w:rPr>
          <w:rFonts w:eastAsia="SimSun"/>
          <w:b/>
        </w:rPr>
        <w:t>на</w:t>
      </w:r>
      <w:proofErr w:type="gramEnd"/>
      <w:r w:rsidRPr="004E4D39">
        <w:rPr>
          <w:rFonts w:eastAsia="SimSun"/>
          <w:b/>
        </w:rPr>
        <w:t xml:space="preserve"> </w:t>
      </w:r>
      <w:r>
        <w:rPr>
          <w:rFonts w:eastAsia="SimSun"/>
          <w:b/>
        </w:rPr>
        <w:t>202</w:t>
      </w:r>
      <w:r w:rsidR="008F6863">
        <w:rPr>
          <w:rFonts w:eastAsia="SimSun"/>
          <w:b/>
        </w:rPr>
        <w:t>2</w:t>
      </w:r>
      <w:r w:rsidRPr="004E4D39">
        <w:rPr>
          <w:rFonts w:eastAsia="SimSun"/>
          <w:b/>
        </w:rPr>
        <w:t xml:space="preserve"> год и плановый период  </w:t>
      </w:r>
      <w:r>
        <w:rPr>
          <w:rFonts w:eastAsia="SimSun"/>
          <w:b/>
        </w:rPr>
        <w:t>202</w:t>
      </w:r>
      <w:r w:rsidR="008F6863">
        <w:rPr>
          <w:rFonts w:eastAsia="SimSun"/>
          <w:b/>
        </w:rPr>
        <w:t>3</w:t>
      </w:r>
      <w:r w:rsidRPr="004E4D39">
        <w:rPr>
          <w:rFonts w:eastAsia="SimSun"/>
          <w:b/>
        </w:rPr>
        <w:t>-</w:t>
      </w:r>
      <w:r>
        <w:rPr>
          <w:rFonts w:eastAsia="SimSun"/>
          <w:b/>
        </w:rPr>
        <w:t>202</w:t>
      </w:r>
      <w:r w:rsidR="008F6863">
        <w:rPr>
          <w:rFonts w:eastAsia="SimSun"/>
          <w:b/>
        </w:rPr>
        <w:t>4</w:t>
      </w:r>
      <w:r w:rsidRPr="004E4D39">
        <w:rPr>
          <w:rFonts w:eastAsia="SimSun"/>
          <w:b/>
        </w:rPr>
        <w:t>гг.</w:t>
      </w:r>
    </w:p>
    <w:p w:rsidR="00D80372" w:rsidRDefault="00D80372" w:rsidP="00D80372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542137">
        <w:rPr>
          <w:rFonts w:eastAsia="SimSun"/>
        </w:rPr>
        <w:t xml:space="preserve"> Бюджетные ассигнования на реализацию расходных обязательств </w:t>
      </w:r>
      <w:proofErr w:type="spellStart"/>
      <w:r>
        <w:rPr>
          <w:rFonts w:eastAsia="SimSun"/>
        </w:rPr>
        <w:t>Каразейского</w:t>
      </w:r>
      <w:proofErr w:type="spellEnd"/>
      <w:r w:rsidRPr="00542137">
        <w:rPr>
          <w:rFonts w:eastAsia="SimSun"/>
        </w:rPr>
        <w:t xml:space="preserve"> </w:t>
      </w:r>
      <w:proofErr w:type="gramStart"/>
      <w:r>
        <w:rPr>
          <w:rFonts w:eastAsia="SimSun"/>
        </w:rPr>
        <w:t>МО</w:t>
      </w:r>
      <w:r w:rsidRPr="00542137">
        <w:rPr>
          <w:rFonts w:eastAsia="SimSun"/>
        </w:rPr>
        <w:t xml:space="preserve">  на</w:t>
      </w:r>
      <w:proofErr w:type="gramEnd"/>
      <w:r w:rsidRPr="00542137">
        <w:rPr>
          <w:rFonts w:eastAsia="SimSun"/>
        </w:rPr>
        <w:t xml:space="preserve"> </w:t>
      </w:r>
      <w:r>
        <w:rPr>
          <w:rFonts w:eastAsia="SimSun"/>
        </w:rPr>
        <w:t>20</w:t>
      </w:r>
      <w:r w:rsidR="00DD763C">
        <w:rPr>
          <w:rFonts w:eastAsia="SimSun"/>
        </w:rPr>
        <w:t>22</w:t>
      </w:r>
      <w:r w:rsidRPr="00542137">
        <w:rPr>
          <w:rFonts w:eastAsia="SimSun"/>
        </w:rPr>
        <w:t>г.</w:t>
      </w:r>
      <w:r>
        <w:rPr>
          <w:rFonts w:eastAsia="SimSun"/>
        </w:rPr>
        <w:t xml:space="preserve"> </w:t>
      </w:r>
      <w:r w:rsidRPr="00542137">
        <w:rPr>
          <w:rFonts w:eastAsia="SimSun"/>
        </w:rPr>
        <w:t xml:space="preserve">запланированы в объеме </w:t>
      </w:r>
      <w:r w:rsidR="00DD763C">
        <w:rPr>
          <w:rFonts w:eastAsia="SimSun"/>
        </w:rPr>
        <w:t>12461,8</w:t>
      </w:r>
      <w:r>
        <w:rPr>
          <w:rFonts w:eastAsia="SimSun"/>
        </w:rPr>
        <w:t xml:space="preserve"> </w:t>
      </w:r>
      <w:r w:rsidRPr="00542137">
        <w:rPr>
          <w:rFonts w:eastAsia="SimSun"/>
        </w:rPr>
        <w:t>тыс.</w:t>
      </w:r>
      <w:r>
        <w:rPr>
          <w:rFonts w:eastAsia="SimSun"/>
        </w:rPr>
        <w:t xml:space="preserve"> </w:t>
      </w:r>
      <w:r w:rsidRPr="00542137">
        <w:rPr>
          <w:rFonts w:eastAsia="SimSun"/>
        </w:rPr>
        <w:t xml:space="preserve">руб., на плановый период </w:t>
      </w:r>
      <w:r w:rsidR="00DD763C">
        <w:rPr>
          <w:rFonts w:eastAsia="SimSun"/>
        </w:rPr>
        <w:t>2023</w:t>
      </w:r>
      <w:r w:rsidRPr="00542137">
        <w:rPr>
          <w:rFonts w:eastAsia="SimSun"/>
        </w:rPr>
        <w:t xml:space="preserve">г. – </w:t>
      </w:r>
      <w:r w:rsidR="00DD763C">
        <w:rPr>
          <w:rFonts w:eastAsia="SimSun"/>
        </w:rPr>
        <w:t>9482,5</w:t>
      </w:r>
      <w:r w:rsidRPr="00542137">
        <w:rPr>
          <w:rFonts w:eastAsia="SimSun"/>
        </w:rPr>
        <w:t>тыс.ру</w:t>
      </w:r>
      <w:r>
        <w:rPr>
          <w:rFonts w:eastAsia="SimSun"/>
        </w:rPr>
        <w:t>б</w:t>
      </w:r>
      <w:r w:rsidRPr="00542137">
        <w:rPr>
          <w:rFonts w:eastAsia="SimSun"/>
        </w:rPr>
        <w:t xml:space="preserve">., на </w:t>
      </w:r>
      <w:r>
        <w:rPr>
          <w:rFonts w:eastAsia="SimSun"/>
        </w:rPr>
        <w:t>202</w:t>
      </w:r>
      <w:r w:rsidR="00DD763C">
        <w:rPr>
          <w:rFonts w:eastAsia="SimSun"/>
        </w:rPr>
        <w:t>4</w:t>
      </w:r>
      <w:r w:rsidRPr="00542137">
        <w:rPr>
          <w:rFonts w:eastAsia="SimSun"/>
        </w:rPr>
        <w:t>г. –</w:t>
      </w:r>
      <w:r>
        <w:rPr>
          <w:rFonts w:eastAsia="SimSun"/>
        </w:rPr>
        <w:t xml:space="preserve"> </w:t>
      </w:r>
      <w:r w:rsidR="00DD763C">
        <w:rPr>
          <w:rFonts w:eastAsia="SimSun"/>
        </w:rPr>
        <w:t xml:space="preserve">15209,3 </w:t>
      </w:r>
      <w:r w:rsidRPr="00542137">
        <w:rPr>
          <w:rFonts w:eastAsia="SimSun"/>
        </w:rPr>
        <w:t>тыс.</w:t>
      </w:r>
      <w:r w:rsidR="00DD763C">
        <w:rPr>
          <w:rFonts w:eastAsia="SimSun"/>
        </w:rPr>
        <w:t xml:space="preserve"> </w:t>
      </w:r>
      <w:r w:rsidRPr="00542137">
        <w:rPr>
          <w:rFonts w:eastAsia="SimSun"/>
        </w:rPr>
        <w:t>руб.</w:t>
      </w:r>
      <w:r>
        <w:rPr>
          <w:rFonts w:eastAsia="SimSun"/>
        </w:rPr>
        <w:t xml:space="preserve"> </w:t>
      </w:r>
      <w:r w:rsidRPr="00E74888">
        <w:rPr>
          <w:rFonts w:eastAsia="SimSun"/>
        </w:rPr>
        <w:t xml:space="preserve">Основными направлениями расходов бюджета поселения на </w:t>
      </w:r>
      <w:r w:rsidR="00DD763C">
        <w:rPr>
          <w:rFonts w:eastAsia="SimSun"/>
        </w:rPr>
        <w:t>2022</w:t>
      </w:r>
      <w:r w:rsidRPr="00E74888">
        <w:rPr>
          <w:rFonts w:eastAsia="SimSun"/>
        </w:rPr>
        <w:t xml:space="preserve"> год</w:t>
      </w:r>
      <w:r>
        <w:rPr>
          <w:rFonts w:eastAsia="SimSun"/>
        </w:rPr>
        <w:t xml:space="preserve"> и плановый период 202</w:t>
      </w:r>
      <w:r w:rsidR="00DD763C">
        <w:rPr>
          <w:rFonts w:eastAsia="SimSun"/>
        </w:rPr>
        <w:t>3</w:t>
      </w:r>
      <w:r>
        <w:rPr>
          <w:rFonts w:eastAsia="SimSun"/>
        </w:rPr>
        <w:t xml:space="preserve"> и 202</w:t>
      </w:r>
      <w:r w:rsidR="00DD763C">
        <w:rPr>
          <w:rFonts w:eastAsia="SimSun"/>
        </w:rPr>
        <w:t>4</w:t>
      </w:r>
      <w:r>
        <w:rPr>
          <w:rFonts w:eastAsia="SimSun"/>
        </w:rPr>
        <w:t>годов</w:t>
      </w:r>
      <w:r w:rsidRPr="00E74888">
        <w:rPr>
          <w:rFonts w:eastAsia="SimSun"/>
        </w:rPr>
        <w:t xml:space="preserve"> остаются, как и в предыдущие годы, </w:t>
      </w:r>
      <w:r>
        <w:rPr>
          <w:rFonts w:eastAsia="SimSun"/>
        </w:rPr>
        <w:t>расходы на культуру (3</w:t>
      </w:r>
      <w:r w:rsidR="00DD763C">
        <w:rPr>
          <w:rFonts w:eastAsia="SimSun"/>
        </w:rPr>
        <w:t>2,7</w:t>
      </w:r>
      <w:r>
        <w:rPr>
          <w:rFonts w:eastAsia="SimSun"/>
        </w:rPr>
        <w:t>-3</w:t>
      </w:r>
      <w:r w:rsidR="00DD763C">
        <w:rPr>
          <w:rFonts w:eastAsia="SimSun"/>
        </w:rPr>
        <w:t>6,6</w:t>
      </w:r>
      <w:r w:rsidRPr="00E74888">
        <w:rPr>
          <w:rFonts w:eastAsia="SimSun"/>
        </w:rPr>
        <w:t xml:space="preserve">% в общих расходах бюджета), </w:t>
      </w:r>
      <w:r>
        <w:rPr>
          <w:rFonts w:eastAsia="SimSun"/>
        </w:rPr>
        <w:t>общегосударственные вопросы</w:t>
      </w:r>
      <w:r w:rsidRPr="00E74888">
        <w:rPr>
          <w:rFonts w:eastAsia="SimSun"/>
        </w:rPr>
        <w:t xml:space="preserve"> (</w:t>
      </w:r>
      <w:r w:rsidR="00DD763C">
        <w:rPr>
          <w:rFonts w:eastAsia="SimSun"/>
        </w:rPr>
        <w:t>34,9</w:t>
      </w:r>
      <w:r>
        <w:rPr>
          <w:rFonts w:eastAsia="SimSun"/>
        </w:rPr>
        <w:t>-</w:t>
      </w:r>
      <w:r w:rsidR="00DD763C">
        <w:rPr>
          <w:rFonts w:eastAsia="SimSun"/>
        </w:rPr>
        <w:t>38,9%</w:t>
      </w:r>
      <w:r w:rsidRPr="00E74888">
        <w:rPr>
          <w:rFonts w:eastAsia="SimSun"/>
        </w:rPr>
        <w:t xml:space="preserve"> в общих расходах бюджета)</w:t>
      </w:r>
      <w:r w:rsidR="00EF4CAE">
        <w:rPr>
          <w:rFonts w:eastAsia="SimSun"/>
        </w:rPr>
        <w:t>.</w:t>
      </w:r>
      <w:r w:rsidRPr="009F1081">
        <w:t xml:space="preserve"> </w:t>
      </w:r>
      <w:r w:rsidRPr="009F1081">
        <w:rPr>
          <w:rFonts w:eastAsia="SimSun"/>
        </w:rPr>
        <w:t xml:space="preserve">Условно утверждаемые расходы на </w:t>
      </w:r>
      <w:r>
        <w:rPr>
          <w:rFonts w:eastAsia="SimSun"/>
        </w:rPr>
        <w:t>2022</w:t>
      </w:r>
      <w:r w:rsidRPr="009F1081">
        <w:rPr>
          <w:rFonts w:eastAsia="SimSun"/>
        </w:rPr>
        <w:t xml:space="preserve"> год и </w:t>
      </w:r>
      <w:r>
        <w:rPr>
          <w:rFonts w:eastAsia="SimSun"/>
        </w:rPr>
        <w:t>2023</w:t>
      </w:r>
      <w:r w:rsidRPr="009F1081">
        <w:rPr>
          <w:rFonts w:eastAsia="SimSun"/>
        </w:rPr>
        <w:t xml:space="preserve"> год запланированы с учетом норм бюджетного законодательства</w:t>
      </w:r>
      <w:r>
        <w:rPr>
          <w:rFonts w:eastAsia="SimSun"/>
        </w:rPr>
        <w:t xml:space="preserve"> </w:t>
      </w:r>
      <w:r w:rsidRPr="009F1081">
        <w:rPr>
          <w:rFonts w:eastAsia="SimSun"/>
        </w:rPr>
        <w:t xml:space="preserve">— </w:t>
      </w:r>
      <w:r>
        <w:rPr>
          <w:rFonts w:eastAsia="SimSun"/>
        </w:rPr>
        <w:t xml:space="preserve">не менее </w:t>
      </w:r>
      <w:r w:rsidRPr="009F1081">
        <w:rPr>
          <w:rFonts w:eastAsia="SimSun"/>
        </w:rPr>
        <w:t>2,5% и 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соответственно</w:t>
      </w:r>
      <w:r>
        <w:rPr>
          <w:rFonts w:eastAsia="SimSun"/>
        </w:rPr>
        <w:t xml:space="preserve">. </w:t>
      </w:r>
    </w:p>
    <w:p w:rsidR="00D80372" w:rsidRPr="001C580F" w:rsidRDefault="00D80372" w:rsidP="00D80372">
      <w:pPr>
        <w:jc w:val="both"/>
        <w:rPr>
          <w:rFonts w:eastAsia="SimSun"/>
        </w:rPr>
      </w:pPr>
      <w:r w:rsidRPr="00983219">
        <w:rPr>
          <w:rFonts w:eastAsia="SimSun"/>
        </w:rPr>
        <w:tab/>
      </w:r>
      <w:r w:rsidRPr="0050683D">
        <w:rPr>
          <w:rFonts w:eastAsia="SimSun"/>
          <w:lang w:val="x-none"/>
        </w:rPr>
        <w:t xml:space="preserve">Сравнительный анализ расходов местного бюджета по разделам в </w:t>
      </w:r>
      <w:r w:rsidR="000E721E">
        <w:rPr>
          <w:rFonts w:eastAsia="SimSun"/>
          <w:lang w:val="x-none"/>
        </w:rPr>
        <w:t>202</w:t>
      </w:r>
      <w:r w:rsidR="000E721E">
        <w:rPr>
          <w:rFonts w:eastAsia="SimSun"/>
        </w:rPr>
        <w:t>1</w:t>
      </w:r>
      <w:r w:rsidRPr="0050683D">
        <w:rPr>
          <w:rFonts w:eastAsia="SimSun"/>
          <w:lang w:val="x-none"/>
        </w:rPr>
        <w:t>-</w:t>
      </w:r>
      <w:r>
        <w:rPr>
          <w:rFonts w:eastAsia="SimSun"/>
          <w:lang w:val="x-none"/>
        </w:rPr>
        <w:t>202</w:t>
      </w:r>
      <w:r w:rsidR="000E721E">
        <w:rPr>
          <w:rFonts w:eastAsia="SimSun"/>
        </w:rPr>
        <w:t>4</w:t>
      </w:r>
      <w:r w:rsidRPr="0050683D">
        <w:rPr>
          <w:rFonts w:eastAsia="SimSun"/>
          <w:lang w:val="x-none"/>
        </w:rPr>
        <w:t>годах представлен в таблице №</w:t>
      </w:r>
      <w:r>
        <w:rPr>
          <w:rFonts w:eastAsia="SimSun"/>
        </w:rPr>
        <w:t>3</w:t>
      </w:r>
      <w:r>
        <w:rPr>
          <w:rFonts w:eastAsia="SimSun"/>
          <w:lang w:val="x-none"/>
        </w:rPr>
        <w:t>.</w:t>
      </w:r>
      <w:r w:rsidRPr="00BE2AF8">
        <w:t xml:space="preserve"> </w:t>
      </w:r>
      <w:r w:rsidRPr="00BE2AF8">
        <w:rPr>
          <w:rFonts w:eastAsia="SimSun"/>
          <w:lang w:val="x-none"/>
        </w:rPr>
        <w:t xml:space="preserve">Расходы бюджета на </w:t>
      </w:r>
      <w:r w:rsidR="000E721E">
        <w:rPr>
          <w:rFonts w:eastAsia="SimSun"/>
          <w:lang w:val="x-none"/>
        </w:rPr>
        <w:t>2023</w:t>
      </w:r>
      <w:r w:rsidRPr="00BE2AF8">
        <w:rPr>
          <w:rFonts w:eastAsia="SimSun"/>
          <w:lang w:val="x-none"/>
        </w:rPr>
        <w:t>-</w:t>
      </w:r>
      <w:r w:rsidR="000E721E">
        <w:rPr>
          <w:rFonts w:eastAsia="SimSun"/>
          <w:lang w:val="x-none"/>
        </w:rPr>
        <w:t>2024</w:t>
      </w:r>
      <w:r w:rsidRPr="00BE2AF8">
        <w:rPr>
          <w:rFonts w:eastAsia="SimSun"/>
          <w:lang w:val="x-none"/>
        </w:rPr>
        <w:t>гг. представлены без условно утверждаемых расходов.</w:t>
      </w:r>
    </w:p>
    <w:p w:rsidR="00D80372" w:rsidRPr="00A351A3" w:rsidRDefault="00D80372" w:rsidP="00D80372">
      <w:pPr>
        <w:jc w:val="right"/>
        <w:rPr>
          <w:rFonts w:eastAsia="SimSun"/>
        </w:rPr>
      </w:pPr>
      <w:r w:rsidRPr="00BE55E7">
        <w:t>Таблица</w:t>
      </w:r>
      <w:r w:rsidRPr="00A351A3">
        <w:t xml:space="preserve"> № </w:t>
      </w:r>
      <w:r>
        <w:t>3</w:t>
      </w:r>
      <w:r w:rsidRPr="00A351A3">
        <w:t xml:space="preserve"> (тыс. руб.)</w:t>
      </w:r>
      <w:r w:rsidRPr="00A351A3">
        <w:rPr>
          <w:rFonts w:eastAsia="SimSun"/>
        </w:rPr>
        <w:t xml:space="preserve">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"/>
        <w:gridCol w:w="993"/>
        <w:gridCol w:w="992"/>
        <w:gridCol w:w="709"/>
        <w:gridCol w:w="992"/>
        <w:gridCol w:w="709"/>
        <w:gridCol w:w="992"/>
        <w:gridCol w:w="850"/>
      </w:tblGrid>
      <w:tr w:rsidR="00D80372" w:rsidRPr="00F724C0" w:rsidTr="000C5254">
        <w:tc>
          <w:tcPr>
            <w:tcW w:w="2694" w:type="dxa"/>
          </w:tcPr>
          <w:p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</w:tcPr>
          <w:p w:rsidR="00D80372" w:rsidRPr="00F724C0" w:rsidRDefault="00D80372" w:rsidP="000C5254">
            <w:pPr>
              <w:autoSpaceDE w:val="0"/>
              <w:autoSpaceDN w:val="0"/>
              <w:adjustRightInd w:val="0"/>
              <w:ind w:left="-2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993" w:type="dxa"/>
          </w:tcPr>
          <w:p w:rsidR="00D80372" w:rsidRPr="00BE0D5B" w:rsidRDefault="00D80372" w:rsidP="000C525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 w:rsidRPr="00BE0D5B">
              <w:rPr>
                <w:rFonts w:cs="Arial CYR"/>
                <w:sz w:val="20"/>
                <w:szCs w:val="20"/>
              </w:rPr>
              <w:t xml:space="preserve">Ожидаемое </w:t>
            </w:r>
            <w:r w:rsidR="00A17204">
              <w:rPr>
                <w:rFonts w:cs="Arial CYR"/>
                <w:sz w:val="20"/>
                <w:szCs w:val="20"/>
              </w:rPr>
              <w:t>2021</w:t>
            </w:r>
            <w:r w:rsidRPr="00BE0D5B">
              <w:rPr>
                <w:rFonts w:cs="Arial CYR"/>
                <w:sz w:val="20"/>
                <w:szCs w:val="20"/>
              </w:rPr>
              <w:t>г.</w:t>
            </w:r>
          </w:p>
        </w:tc>
        <w:tc>
          <w:tcPr>
            <w:tcW w:w="992" w:type="dxa"/>
          </w:tcPr>
          <w:p w:rsidR="00D80372" w:rsidRPr="00BE0D5B" w:rsidRDefault="00D80372" w:rsidP="000C525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 w:rsidRPr="00BE0D5B">
              <w:rPr>
                <w:rFonts w:cs="Arial CYR"/>
                <w:sz w:val="20"/>
                <w:szCs w:val="20"/>
              </w:rPr>
              <w:t xml:space="preserve">Прогноз </w:t>
            </w:r>
            <w:r w:rsidR="00A17204">
              <w:rPr>
                <w:rFonts w:cs="Arial CYR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D80372" w:rsidRPr="00BE0D5B" w:rsidRDefault="00A17204" w:rsidP="00A1720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2022</w:t>
            </w:r>
            <w:r w:rsidR="00D80372" w:rsidRPr="00BE0D5B">
              <w:rPr>
                <w:rFonts w:cs="Arial CYR"/>
                <w:sz w:val="20"/>
                <w:szCs w:val="20"/>
              </w:rPr>
              <w:t xml:space="preserve">г к </w:t>
            </w:r>
            <w:r w:rsidR="00D80372">
              <w:rPr>
                <w:rFonts w:cs="Arial CYR"/>
                <w:sz w:val="20"/>
                <w:szCs w:val="20"/>
              </w:rPr>
              <w:t>202</w:t>
            </w:r>
            <w:r>
              <w:rPr>
                <w:rFonts w:cs="Arial CYR"/>
                <w:sz w:val="20"/>
                <w:szCs w:val="20"/>
              </w:rPr>
              <w:t>1</w:t>
            </w:r>
            <w:r w:rsidR="00D80372" w:rsidRPr="00BE0D5B">
              <w:rPr>
                <w:rFonts w:cs="Arial CYR"/>
                <w:sz w:val="20"/>
                <w:szCs w:val="20"/>
              </w:rPr>
              <w:t>г %</w:t>
            </w:r>
          </w:p>
        </w:tc>
        <w:tc>
          <w:tcPr>
            <w:tcW w:w="992" w:type="dxa"/>
          </w:tcPr>
          <w:p w:rsidR="00D80372" w:rsidRPr="00BE0D5B" w:rsidRDefault="00D80372" w:rsidP="00A1720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 w:rsidRPr="00BE0D5B">
              <w:rPr>
                <w:rFonts w:cs="Arial CYR"/>
                <w:sz w:val="20"/>
                <w:szCs w:val="20"/>
              </w:rPr>
              <w:t xml:space="preserve">Прогноз </w:t>
            </w:r>
            <w:r>
              <w:rPr>
                <w:rFonts w:cs="Arial CYR"/>
                <w:sz w:val="20"/>
                <w:szCs w:val="20"/>
              </w:rPr>
              <w:t>202</w:t>
            </w:r>
            <w:r w:rsidR="00A17204">
              <w:rPr>
                <w:rFonts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80372" w:rsidRPr="00BE0D5B" w:rsidRDefault="00D80372" w:rsidP="00A1720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</w:t>
            </w:r>
            <w:r w:rsidR="00A17204">
              <w:rPr>
                <w:rFonts w:cs="Arial CYR"/>
                <w:sz w:val="20"/>
                <w:szCs w:val="20"/>
              </w:rPr>
              <w:t>023</w:t>
            </w:r>
            <w:r w:rsidRPr="00BE0D5B">
              <w:rPr>
                <w:rFonts w:cs="Arial CYR"/>
                <w:sz w:val="20"/>
                <w:szCs w:val="20"/>
              </w:rPr>
              <w:t xml:space="preserve">г к </w:t>
            </w:r>
            <w:r>
              <w:rPr>
                <w:rFonts w:cs="Arial CYR"/>
                <w:sz w:val="20"/>
                <w:szCs w:val="20"/>
              </w:rPr>
              <w:t>202</w:t>
            </w:r>
            <w:r w:rsidR="00A17204">
              <w:rPr>
                <w:rFonts w:cs="Arial CYR"/>
                <w:sz w:val="20"/>
                <w:szCs w:val="20"/>
              </w:rPr>
              <w:t>2</w:t>
            </w:r>
            <w:r w:rsidRPr="00BE0D5B">
              <w:rPr>
                <w:rFonts w:cs="Arial CYR"/>
                <w:sz w:val="20"/>
                <w:szCs w:val="20"/>
              </w:rPr>
              <w:t>г %</w:t>
            </w:r>
          </w:p>
        </w:tc>
        <w:tc>
          <w:tcPr>
            <w:tcW w:w="992" w:type="dxa"/>
          </w:tcPr>
          <w:p w:rsidR="00D80372" w:rsidRPr="00BE0D5B" w:rsidRDefault="00D80372" w:rsidP="000C5254">
            <w:pPr>
              <w:autoSpaceDE w:val="0"/>
              <w:autoSpaceDN w:val="0"/>
              <w:adjustRightInd w:val="0"/>
              <w:jc w:val="center"/>
              <w:rPr>
                <w:rFonts w:cs="Arial CYR"/>
                <w:sz w:val="20"/>
                <w:szCs w:val="20"/>
              </w:rPr>
            </w:pPr>
            <w:r w:rsidRPr="00BE0D5B">
              <w:rPr>
                <w:rFonts w:cs="Arial CYR"/>
                <w:sz w:val="20"/>
                <w:szCs w:val="20"/>
              </w:rPr>
              <w:t xml:space="preserve">Прогноз </w:t>
            </w:r>
            <w:r w:rsidR="00A17204">
              <w:rPr>
                <w:rFonts w:cs="Arial CYR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:rsidR="00D80372" w:rsidRPr="00BE0D5B" w:rsidRDefault="00D80372" w:rsidP="00A17204">
            <w:pPr>
              <w:autoSpaceDE w:val="0"/>
              <w:autoSpaceDN w:val="0"/>
              <w:adjustRightInd w:val="0"/>
              <w:ind w:left="-60" w:right="-108"/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202</w:t>
            </w:r>
            <w:r w:rsidR="00FC3E4F">
              <w:rPr>
                <w:rFonts w:cs="Arial CYR"/>
                <w:sz w:val="20"/>
                <w:szCs w:val="20"/>
              </w:rPr>
              <w:t>4г. к 2023</w:t>
            </w:r>
            <w:r w:rsidRPr="00BE0D5B">
              <w:rPr>
                <w:rFonts w:cs="Arial CYR"/>
                <w:sz w:val="20"/>
                <w:szCs w:val="20"/>
              </w:rPr>
              <w:t>г.</w:t>
            </w:r>
            <w:r>
              <w:rPr>
                <w:rFonts w:cs="Arial CYR"/>
                <w:sz w:val="20"/>
                <w:szCs w:val="20"/>
              </w:rPr>
              <w:t xml:space="preserve"> </w:t>
            </w:r>
            <w:r w:rsidRPr="00BE0D5B">
              <w:rPr>
                <w:rFonts w:cs="Arial CYR"/>
                <w:sz w:val="20"/>
                <w:szCs w:val="20"/>
              </w:rPr>
              <w:t>%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F724C0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F724C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4C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3" w:type="dxa"/>
          </w:tcPr>
          <w:p w:rsidR="00D80372" w:rsidRPr="002F6823" w:rsidRDefault="00B92AF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5426,3</w:t>
            </w:r>
          </w:p>
        </w:tc>
        <w:tc>
          <w:tcPr>
            <w:tcW w:w="992" w:type="dxa"/>
          </w:tcPr>
          <w:p w:rsidR="00D80372" w:rsidRPr="00F724C0" w:rsidRDefault="00820A6D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4341,7</w:t>
            </w:r>
          </w:p>
        </w:tc>
        <w:tc>
          <w:tcPr>
            <w:tcW w:w="709" w:type="dxa"/>
          </w:tcPr>
          <w:p w:rsidR="00D80372" w:rsidRPr="00BE55E7" w:rsidRDefault="006D2D9A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D80372" w:rsidRPr="00C91068" w:rsidRDefault="00E84D04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3693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85,1</w:t>
            </w:r>
          </w:p>
        </w:tc>
        <w:tc>
          <w:tcPr>
            <w:tcW w:w="992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5865,</w:t>
            </w:r>
          </w:p>
        </w:tc>
        <w:tc>
          <w:tcPr>
            <w:tcW w:w="850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F724C0" w:rsidRDefault="00D80372" w:rsidP="000C525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708" w:type="dxa"/>
          </w:tcPr>
          <w:p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0102</w:t>
            </w:r>
          </w:p>
        </w:tc>
        <w:tc>
          <w:tcPr>
            <w:tcW w:w="993" w:type="dxa"/>
          </w:tcPr>
          <w:p w:rsidR="00D80372" w:rsidRPr="002F6823" w:rsidRDefault="00B92AF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</w:t>
            </w:r>
          </w:p>
        </w:tc>
        <w:tc>
          <w:tcPr>
            <w:tcW w:w="992" w:type="dxa"/>
          </w:tcPr>
          <w:p w:rsidR="00D80372" w:rsidRPr="00F724C0" w:rsidRDefault="00820A6D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709" w:type="dxa"/>
          </w:tcPr>
          <w:p w:rsidR="00D80372" w:rsidRPr="00BE55E7" w:rsidRDefault="006D2D9A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992" w:type="dxa"/>
          </w:tcPr>
          <w:p w:rsidR="00D80372" w:rsidRPr="00F724C0" w:rsidRDefault="00E84D04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797,2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992" w:type="dxa"/>
          </w:tcPr>
          <w:p w:rsidR="00D80372" w:rsidRPr="00F724C0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1193,6</w:t>
            </w:r>
          </w:p>
        </w:tc>
        <w:tc>
          <w:tcPr>
            <w:tcW w:w="850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149,7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F724C0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708" w:type="dxa"/>
          </w:tcPr>
          <w:p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0104</w:t>
            </w:r>
          </w:p>
        </w:tc>
        <w:tc>
          <w:tcPr>
            <w:tcW w:w="993" w:type="dxa"/>
          </w:tcPr>
          <w:p w:rsidR="00D80372" w:rsidRPr="002F6823" w:rsidRDefault="00B92AF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4232,6</w:t>
            </w:r>
          </w:p>
        </w:tc>
        <w:tc>
          <w:tcPr>
            <w:tcW w:w="992" w:type="dxa"/>
          </w:tcPr>
          <w:p w:rsidR="00D80372" w:rsidRPr="00F724C0" w:rsidRDefault="00820A6D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</w:t>
            </w:r>
          </w:p>
        </w:tc>
        <w:tc>
          <w:tcPr>
            <w:tcW w:w="709" w:type="dxa"/>
          </w:tcPr>
          <w:p w:rsidR="00D80372" w:rsidRPr="00BE55E7" w:rsidRDefault="006D2D9A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D80372" w:rsidRPr="00F724C0" w:rsidRDefault="00E84D04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2885,1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992" w:type="dxa"/>
          </w:tcPr>
          <w:p w:rsidR="00D80372" w:rsidRPr="00F724C0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4661</w:t>
            </w:r>
          </w:p>
        </w:tc>
        <w:tc>
          <w:tcPr>
            <w:tcW w:w="850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161,5</w:t>
            </w:r>
          </w:p>
        </w:tc>
      </w:tr>
      <w:tr w:rsidR="00820A6D" w:rsidRPr="005639BE" w:rsidTr="000C5254">
        <w:tc>
          <w:tcPr>
            <w:tcW w:w="2694" w:type="dxa"/>
          </w:tcPr>
          <w:p w:rsidR="00820A6D" w:rsidRPr="00F724C0" w:rsidRDefault="00820A6D" w:rsidP="00820A6D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708" w:type="dxa"/>
          </w:tcPr>
          <w:p w:rsidR="00820A6D" w:rsidRPr="00F724C0" w:rsidRDefault="00820A6D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993" w:type="dxa"/>
          </w:tcPr>
          <w:p w:rsidR="00820A6D" w:rsidRDefault="00820A6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20A6D" w:rsidRDefault="00820A6D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709" w:type="dxa"/>
          </w:tcPr>
          <w:p w:rsidR="00820A6D" w:rsidRPr="00BE55E7" w:rsidRDefault="006D2D9A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20A6D" w:rsidRPr="00F724C0" w:rsidRDefault="00E84D04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0A6D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20A6D" w:rsidRPr="00F724C0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20A6D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F724C0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08" w:type="dxa"/>
          </w:tcPr>
          <w:p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0111</w:t>
            </w:r>
          </w:p>
        </w:tc>
        <w:tc>
          <w:tcPr>
            <w:tcW w:w="993" w:type="dxa"/>
          </w:tcPr>
          <w:p w:rsidR="00D80372" w:rsidRPr="002F6823" w:rsidRDefault="00B92AF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80372" w:rsidRPr="00F724C0" w:rsidRDefault="00820A6D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80372" w:rsidRPr="00BE55E7" w:rsidRDefault="006D2D9A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80372" w:rsidRPr="00F724C0" w:rsidRDefault="00E84D04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80372" w:rsidRPr="00F724C0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F724C0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Др. </w:t>
            </w:r>
            <w:proofErr w:type="spellStart"/>
            <w:r>
              <w:rPr>
                <w:sz w:val="20"/>
                <w:szCs w:val="20"/>
              </w:rPr>
              <w:t>общегосударст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Pr="00F724C0">
              <w:rPr>
                <w:sz w:val="20"/>
                <w:szCs w:val="20"/>
              </w:rPr>
              <w:t xml:space="preserve"> расходы</w:t>
            </w:r>
            <w:proofErr w:type="gramEnd"/>
          </w:p>
        </w:tc>
        <w:tc>
          <w:tcPr>
            <w:tcW w:w="708" w:type="dxa"/>
          </w:tcPr>
          <w:p w:rsidR="00D80372" w:rsidRPr="00F724C0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4C0"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</w:tcPr>
          <w:p w:rsidR="00D80372" w:rsidRPr="002F6823" w:rsidRDefault="00B92AF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D80372" w:rsidRPr="00F724C0" w:rsidRDefault="00820A6D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D80372" w:rsidRPr="00BE55E7" w:rsidRDefault="006D2D9A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80372" w:rsidRPr="00F724C0" w:rsidRDefault="00E84D04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80372" w:rsidRPr="00F724C0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12347A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12347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</w:tcPr>
          <w:p w:rsidR="00D80372" w:rsidRPr="0012347A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347A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3" w:type="dxa"/>
          </w:tcPr>
          <w:p w:rsidR="00D80372" w:rsidRPr="0012347A" w:rsidRDefault="00B92AF5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137,3</w:t>
            </w:r>
          </w:p>
        </w:tc>
        <w:tc>
          <w:tcPr>
            <w:tcW w:w="992" w:type="dxa"/>
          </w:tcPr>
          <w:p w:rsidR="00D80372" w:rsidRPr="0012347A" w:rsidRDefault="00820A6D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143,4</w:t>
            </w:r>
          </w:p>
        </w:tc>
        <w:tc>
          <w:tcPr>
            <w:tcW w:w="709" w:type="dxa"/>
          </w:tcPr>
          <w:p w:rsidR="00D80372" w:rsidRPr="00BE55E7" w:rsidRDefault="006D2D9A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104,4</w:t>
            </w:r>
          </w:p>
        </w:tc>
        <w:tc>
          <w:tcPr>
            <w:tcW w:w="992" w:type="dxa"/>
          </w:tcPr>
          <w:p w:rsidR="00D80372" w:rsidRPr="00C91068" w:rsidRDefault="00E84D04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148,4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103,5</w:t>
            </w:r>
          </w:p>
        </w:tc>
        <w:tc>
          <w:tcPr>
            <w:tcW w:w="992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153,7</w:t>
            </w:r>
          </w:p>
        </w:tc>
        <w:tc>
          <w:tcPr>
            <w:tcW w:w="850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103,5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8630BD" w:rsidRDefault="00D80372" w:rsidP="000C5254">
            <w:pPr>
              <w:autoSpaceDE w:val="0"/>
              <w:autoSpaceDN w:val="0"/>
              <w:adjustRightInd w:val="0"/>
              <w:ind w:right="-154"/>
              <w:rPr>
                <w:b/>
                <w:sz w:val="20"/>
                <w:szCs w:val="20"/>
              </w:rPr>
            </w:pPr>
            <w:r w:rsidRPr="008630BD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D80372" w:rsidRPr="008630BD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30B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3" w:type="dxa"/>
          </w:tcPr>
          <w:p w:rsidR="00D80372" w:rsidRPr="008630BD" w:rsidRDefault="00B92AF5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D80372" w:rsidRPr="008630BD" w:rsidRDefault="00820A6D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D80372" w:rsidRPr="00BE55E7" w:rsidRDefault="006D2D9A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80372" w:rsidRPr="00C91068" w:rsidRDefault="00DB4547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5р.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8630BD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8630BD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</w:tcPr>
          <w:p w:rsidR="00D80372" w:rsidRPr="008630BD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30BD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3" w:type="dxa"/>
          </w:tcPr>
          <w:p w:rsidR="00D80372" w:rsidRPr="002F6823" w:rsidRDefault="00B92AF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3172,4</w:t>
            </w:r>
          </w:p>
        </w:tc>
        <w:tc>
          <w:tcPr>
            <w:tcW w:w="992" w:type="dxa"/>
          </w:tcPr>
          <w:p w:rsidR="00D80372" w:rsidRPr="008630BD" w:rsidRDefault="00820A6D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1274,7</w:t>
            </w:r>
          </w:p>
        </w:tc>
        <w:tc>
          <w:tcPr>
            <w:tcW w:w="709" w:type="dxa"/>
          </w:tcPr>
          <w:p w:rsidR="00D80372" w:rsidRPr="00BE55E7" w:rsidRDefault="00E84D04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40,2</w:t>
            </w:r>
          </w:p>
        </w:tc>
        <w:tc>
          <w:tcPr>
            <w:tcW w:w="992" w:type="dxa"/>
          </w:tcPr>
          <w:p w:rsidR="00D80372" w:rsidRPr="00C91068" w:rsidRDefault="00DB4547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102,1</w:t>
            </w:r>
          </w:p>
        </w:tc>
        <w:tc>
          <w:tcPr>
            <w:tcW w:w="992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1468,9</w:t>
            </w:r>
          </w:p>
        </w:tc>
        <w:tc>
          <w:tcPr>
            <w:tcW w:w="850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112,9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8630BD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</w:tcPr>
          <w:p w:rsidR="00D80372" w:rsidRPr="008630BD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993" w:type="dxa"/>
          </w:tcPr>
          <w:p w:rsidR="00D80372" w:rsidRPr="002F6823" w:rsidRDefault="00B92AF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92" w:type="dxa"/>
          </w:tcPr>
          <w:p w:rsidR="00D80372" w:rsidRPr="008630BD" w:rsidRDefault="00820A6D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709" w:type="dxa"/>
          </w:tcPr>
          <w:p w:rsidR="00D80372" w:rsidRPr="00BE55E7" w:rsidRDefault="00E84D04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992" w:type="dxa"/>
          </w:tcPr>
          <w:p w:rsidR="00D80372" w:rsidRPr="00C91068" w:rsidRDefault="00DB4547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50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8630BD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 w:rsidRPr="008630BD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</w:tcPr>
          <w:p w:rsidR="00D80372" w:rsidRPr="008630BD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30BD"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</w:tcPr>
          <w:p w:rsidR="00D80372" w:rsidRPr="002F6823" w:rsidRDefault="00B92AF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992" w:type="dxa"/>
          </w:tcPr>
          <w:p w:rsidR="00D80372" w:rsidRPr="008630BD" w:rsidRDefault="00820A6D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  <w:tc>
          <w:tcPr>
            <w:tcW w:w="709" w:type="dxa"/>
          </w:tcPr>
          <w:p w:rsidR="00D80372" w:rsidRPr="00BE55E7" w:rsidRDefault="00E84D04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992" w:type="dxa"/>
          </w:tcPr>
          <w:p w:rsidR="00D80372" w:rsidRPr="00C91068" w:rsidRDefault="00DB4547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1223,7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1321,6</w:t>
            </w:r>
          </w:p>
        </w:tc>
        <w:tc>
          <w:tcPr>
            <w:tcW w:w="850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8630BD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 w:rsidRPr="008630B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D80372" w:rsidRPr="008630BD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30BD"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D80372" w:rsidRPr="002F6823" w:rsidRDefault="00B92AF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80372" w:rsidRPr="008630BD" w:rsidRDefault="00820A6D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D80372" w:rsidRPr="00BE55E7" w:rsidRDefault="00E84D04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D80372" w:rsidRPr="00C91068" w:rsidRDefault="00DB4547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3,3р.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0F6998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0F6998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D80372" w:rsidRPr="000F6998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699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3" w:type="dxa"/>
          </w:tcPr>
          <w:p w:rsidR="00D80372" w:rsidRPr="002F6823" w:rsidRDefault="00B92AF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3474,4</w:t>
            </w:r>
          </w:p>
        </w:tc>
        <w:tc>
          <w:tcPr>
            <w:tcW w:w="992" w:type="dxa"/>
          </w:tcPr>
          <w:p w:rsidR="00D80372" w:rsidRPr="000F6998" w:rsidRDefault="00820A6D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1500,4</w:t>
            </w:r>
          </w:p>
        </w:tc>
        <w:tc>
          <w:tcPr>
            <w:tcW w:w="709" w:type="dxa"/>
          </w:tcPr>
          <w:p w:rsidR="00D80372" w:rsidRPr="00BE55E7" w:rsidRDefault="00E84D04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  <w:tc>
          <w:tcPr>
            <w:tcW w:w="992" w:type="dxa"/>
          </w:tcPr>
          <w:p w:rsidR="00D80372" w:rsidRPr="00C91068" w:rsidRDefault="00DB4547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564,9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37,6</w:t>
            </w:r>
          </w:p>
        </w:tc>
        <w:tc>
          <w:tcPr>
            <w:tcW w:w="992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2627,9</w:t>
            </w:r>
          </w:p>
        </w:tc>
        <w:tc>
          <w:tcPr>
            <w:tcW w:w="850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4,6 р.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C91068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 w:rsidRPr="00C9106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</w:tcPr>
          <w:p w:rsidR="00D80372" w:rsidRPr="00C91068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1068">
              <w:rPr>
                <w:sz w:val="20"/>
                <w:szCs w:val="20"/>
              </w:rPr>
              <w:t>0502</w:t>
            </w:r>
          </w:p>
        </w:tc>
        <w:tc>
          <w:tcPr>
            <w:tcW w:w="993" w:type="dxa"/>
          </w:tcPr>
          <w:p w:rsidR="00D80372" w:rsidRPr="00C91068" w:rsidRDefault="00B92AF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2451</w:t>
            </w:r>
          </w:p>
        </w:tc>
        <w:tc>
          <w:tcPr>
            <w:tcW w:w="992" w:type="dxa"/>
          </w:tcPr>
          <w:p w:rsidR="00D80372" w:rsidRPr="00C91068" w:rsidRDefault="00820A6D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503,7</w:t>
            </w:r>
          </w:p>
        </w:tc>
        <w:tc>
          <w:tcPr>
            <w:tcW w:w="709" w:type="dxa"/>
          </w:tcPr>
          <w:p w:rsidR="00D80372" w:rsidRPr="00C91068" w:rsidRDefault="00E84D04" w:rsidP="000C5254">
            <w:pPr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992" w:type="dxa"/>
          </w:tcPr>
          <w:p w:rsidR="00D80372" w:rsidRPr="00081F93" w:rsidRDefault="00DB4547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992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18,9р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0F6998" w:rsidRDefault="00D80372" w:rsidP="000C5254">
            <w:pPr>
              <w:autoSpaceDE w:val="0"/>
              <w:autoSpaceDN w:val="0"/>
              <w:adjustRightInd w:val="0"/>
              <w:ind w:right="-31"/>
              <w:rPr>
                <w:sz w:val="20"/>
                <w:szCs w:val="20"/>
              </w:rPr>
            </w:pPr>
            <w:r w:rsidRPr="000F699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</w:tcPr>
          <w:p w:rsidR="00D80372" w:rsidRPr="000F6998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998">
              <w:rPr>
                <w:sz w:val="20"/>
                <w:szCs w:val="20"/>
              </w:rPr>
              <w:t>0503</w:t>
            </w:r>
          </w:p>
        </w:tc>
        <w:tc>
          <w:tcPr>
            <w:tcW w:w="993" w:type="dxa"/>
          </w:tcPr>
          <w:p w:rsidR="00D80372" w:rsidRPr="002F6823" w:rsidRDefault="00B92AF5" w:rsidP="000C5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1023,4</w:t>
            </w:r>
          </w:p>
        </w:tc>
        <w:tc>
          <w:tcPr>
            <w:tcW w:w="992" w:type="dxa"/>
          </w:tcPr>
          <w:p w:rsidR="00D80372" w:rsidRPr="000F6998" w:rsidRDefault="006D2D9A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996,7</w:t>
            </w:r>
          </w:p>
        </w:tc>
        <w:tc>
          <w:tcPr>
            <w:tcW w:w="709" w:type="dxa"/>
          </w:tcPr>
          <w:p w:rsidR="00D80372" w:rsidRPr="00BE55E7" w:rsidRDefault="00E84D04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992" w:type="dxa"/>
          </w:tcPr>
          <w:p w:rsidR="00D80372" w:rsidRPr="00081F93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527,9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1927,9</w:t>
            </w:r>
          </w:p>
        </w:tc>
        <w:tc>
          <w:tcPr>
            <w:tcW w:w="850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3,6р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F41766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F41766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</w:tcPr>
          <w:p w:rsidR="00D80372" w:rsidRPr="00F41766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3" w:type="dxa"/>
          </w:tcPr>
          <w:p w:rsidR="00D80372" w:rsidRPr="00F41766" w:rsidRDefault="00B92AF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D80372" w:rsidRPr="00F41766" w:rsidRDefault="006D2D9A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80372" w:rsidRPr="00F41766" w:rsidRDefault="00E84D04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80372" w:rsidRPr="00F417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D80372" w:rsidRPr="00F417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80372" w:rsidRPr="00F417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D80372" w:rsidRPr="00F417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0E2DED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0E2DED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8" w:type="dxa"/>
          </w:tcPr>
          <w:p w:rsidR="00D80372" w:rsidRPr="000E2DED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E2DED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3" w:type="dxa"/>
          </w:tcPr>
          <w:p w:rsidR="00D80372" w:rsidRPr="002F6823" w:rsidRDefault="00B92AF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21486,5</w:t>
            </w:r>
          </w:p>
        </w:tc>
        <w:tc>
          <w:tcPr>
            <w:tcW w:w="992" w:type="dxa"/>
          </w:tcPr>
          <w:p w:rsidR="00D80372" w:rsidRPr="000E2DED" w:rsidRDefault="006D2D9A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4076,6</w:t>
            </w:r>
          </w:p>
        </w:tc>
        <w:tc>
          <w:tcPr>
            <w:tcW w:w="709" w:type="dxa"/>
          </w:tcPr>
          <w:p w:rsidR="00D80372" w:rsidRPr="00BE55E7" w:rsidRDefault="00E84D04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D80372" w:rsidRPr="00081F93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3470,3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85,1</w:t>
            </w:r>
          </w:p>
        </w:tc>
        <w:tc>
          <w:tcPr>
            <w:tcW w:w="992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4610,7</w:t>
            </w:r>
          </w:p>
        </w:tc>
        <w:tc>
          <w:tcPr>
            <w:tcW w:w="850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132,9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0E2DED" w:rsidRDefault="00D80372" w:rsidP="000C5254">
            <w:pPr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</w:tcPr>
          <w:p w:rsidR="00D80372" w:rsidRPr="000E2DED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D80372" w:rsidRDefault="00B92AF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992" w:type="dxa"/>
          </w:tcPr>
          <w:p w:rsidR="00D80372" w:rsidRPr="000E2DED" w:rsidRDefault="006D2D9A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709" w:type="dxa"/>
          </w:tcPr>
          <w:p w:rsidR="00D80372" w:rsidRPr="00BE55E7" w:rsidRDefault="00E84D04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D80372" w:rsidRPr="00081F93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195,9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66,6</w:t>
            </w:r>
          </w:p>
        </w:tc>
        <w:tc>
          <w:tcPr>
            <w:tcW w:w="992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850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Физич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>. культура</w:t>
            </w:r>
            <w:proofErr w:type="gramEnd"/>
            <w:r>
              <w:rPr>
                <w:b/>
                <w:sz w:val="20"/>
                <w:szCs w:val="20"/>
              </w:rPr>
              <w:t xml:space="preserve"> и спорт</w:t>
            </w:r>
          </w:p>
        </w:tc>
        <w:tc>
          <w:tcPr>
            <w:tcW w:w="708" w:type="dxa"/>
          </w:tcPr>
          <w:p w:rsidR="00D80372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3" w:type="dxa"/>
          </w:tcPr>
          <w:p w:rsidR="00D80372" w:rsidRDefault="00B92AF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D80372" w:rsidRDefault="006D2D9A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709" w:type="dxa"/>
          </w:tcPr>
          <w:p w:rsidR="00D80372" w:rsidRPr="00BE55E7" w:rsidRDefault="00E84D04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281,8</w:t>
            </w:r>
          </w:p>
        </w:tc>
        <w:tc>
          <w:tcPr>
            <w:tcW w:w="992" w:type="dxa"/>
          </w:tcPr>
          <w:p w:rsidR="00D80372" w:rsidRPr="00081F93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92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D80372" w:rsidRPr="005639BE" w:rsidTr="000C5254">
        <w:trPr>
          <w:trHeight w:val="517"/>
        </w:trPr>
        <w:tc>
          <w:tcPr>
            <w:tcW w:w="2694" w:type="dxa"/>
            <w:tcBorders>
              <w:bottom w:val="single" w:sz="4" w:space="0" w:color="auto"/>
            </w:tcBorders>
          </w:tcPr>
          <w:p w:rsidR="00D80372" w:rsidRPr="003165B8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3165B8">
              <w:rPr>
                <w:b/>
                <w:sz w:val="20"/>
                <w:szCs w:val="20"/>
              </w:rPr>
              <w:t xml:space="preserve">Межбюджетные трансферты бюджетам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80372" w:rsidRPr="003165B8" w:rsidRDefault="00D80372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165B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0372" w:rsidRPr="002F6823" w:rsidRDefault="00B92AF5" w:rsidP="000C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372" w:rsidRPr="003165B8" w:rsidRDefault="006D2D9A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0372" w:rsidRPr="00BE55E7" w:rsidRDefault="00E84D04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372" w:rsidRPr="00081F93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0372" w:rsidRPr="00A43466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80372" w:rsidRPr="005639BE" w:rsidTr="000C5254">
        <w:tc>
          <w:tcPr>
            <w:tcW w:w="2694" w:type="dxa"/>
          </w:tcPr>
          <w:p w:rsidR="00D80372" w:rsidRPr="00C80599" w:rsidRDefault="00D80372" w:rsidP="000C5254">
            <w:pPr>
              <w:autoSpaceDE w:val="0"/>
              <w:autoSpaceDN w:val="0"/>
              <w:adjustRightInd w:val="0"/>
              <w:ind w:right="-31"/>
              <w:rPr>
                <w:b/>
                <w:sz w:val="20"/>
                <w:szCs w:val="20"/>
              </w:rPr>
            </w:pPr>
            <w:r w:rsidRPr="00C8059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</w:tcPr>
          <w:p w:rsidR="00D80372" w:rsidRPr="00C80599" w:rsidRDefault="00D80372" w:rsidP="000C52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80372" w:rsidRPr="00C80599" w:rsidRDefault="00FC3E4F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34688,4</w:t>
            </w:r>
          </w:p>
        </w:tc>
        <w:tc>
          <w:tcPr>
            <w:tcW w:w="992" w:type="dxa"/>
          </w:tcPr>
          <w:p w:rsidR="00D80372" w:rsidRPr="00C80599" w:rsidRDefault="00FC3E4F" w:rsidP="000C525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12461,8</w:t>
            </w:r>
          </w:p>
        </w:tc>
        <w:tc>
          <w:tcPr>
            <w:tcW w:w="709" w:type="dxa"/>
          </w:tcPr>
          <w:p w:rsidR="00D80372" w:rsidRPr="00BE55E7" w:rsidRDefault="00E84D04" w:rsidP="000C5254">
            <w:pPr>
              <w:autoSpaceDE w:val="0"/>
              <w:autoSpaceDN w:val="0"/>
              <w:adjustRightInd w:val="0"/>
              <w:ind w:left="-108" w:right="-1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35,9</w:t>
            </w:r>
          </w:p>
        </w:tc>
        <w:tc>
          <w:tcPr>
            <w:tcW w:w="992" w:type="dxa"/>
          </w:tcPr>
          <w:p w:rsidR="00D80372" w:rsidRPr="00081F93" w:rsidRDefault="00FC3E4F" w:rsidP="000C5254">
            <w:pPr>
              <w:autoSpaceDE w:val="0"/>
              <w:autoSpaceDN w:val="0"/>
              <w:adjustRightInd w:val="0"/>
              <w:ind w:right="-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9482,5</w:t>
            </w:r>
          </w:p>
        </w:tc>
        <w:tc>
          <w:tcPr>
            <w:tcW w:w="709" w:type="dxa"/>
          </w:tcPr>
          <w:p w:rsidR="00D80372" w:rsidRPr="00B20ABB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76,1</w:t>
            </w:r>
          </w:p>
        </w:tc>
        <w:tc>
          <w:tcPr>
            <w:tcW w:w="992" w:type="dxa"/>
          </w:tcPr>
          <w:p w:rsidR="00D80372" w:rsidRPr="008C05BD" w:rsidRDefault="00FC3E4F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15209,4</w:t>
            </w:r>
          </w:p>
        </w:tc>
        <w:tc>
          <w:tcPr>
            <w:tcW w:w="850" w:type="dxa"/>
          </w:tcPr>
          <w:p w:rsidR="00D80372" w:rsidRPr="00CB403F" w:rsidRDefault="00D22078" w:rsidP="000C525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160,4</w:t>
            </w:r>
          </w:p>
        </w:tc>
      </w:tr>
    </w:tbl>
    <w:p w:rsidR="00D22078" w:rsidRDefault="00D22078" w:rsidP="00D2207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>
        <w:rPr>
          <w:rFonts w:eastAsia="SimSun"/>
        </w:rPr>
        <w:t xml:space="preserve">По сравнению с ожидаемым исполнением 2021 года проектом бюджета на 2022 год расходы предусматриваются в меньшем объеме на 64,1%, или на 22226,6 тыс. руб. Так, ожидаемое исполнение расходной части бюджета на 2021 год – 34688,4 тыс. руб., на 2022 год – 12461,8 тыс. руб. Снижение расходов, в основном, связано с тем, что в 2021 году ожидается произвести расходы за счет субсидии из областного бюджета в рамках подпрограммы «Комплексное развитие сельских территорий Иркутской области» в сумме </w:t>
      </w:r>
      <w:r>
        <w:rPr>
          <w:rFonts w:eastAsia="SimSun"/>
        </w:rPr>
        <w:lastRenderedPageBreak/>
        <w:t>14775,4 тыс. руб., в том числе  капитальный ремонт здания МКУК «Культурно-развлекательный центр «Колос» - 11633,8 тыс. руб., приобретение транспортного средства для учреждения культуры – 3141,6 тыс. руб.</w:t>
      </w:r>
    </w:p>
    <w:p w:rsidR="00D22078" w:rsidRDefault="00D22078" w:rsidP="00D2207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>
        <w:rPr>
          <w:rFonts w:eastAsia="SimSun"/>
        </w:rPr>
        <w:t>Сравнительный анализ бюджетных ассигнований на 2021-2022гг. в разрезе бюджетной классификации приведен на рисунке №2.</w:t>
      </w:r>
    </w:p>
    <w:p w:rsidR="00D22078" w:rsidRDefault="00D22078" w:rsidP="00D22078">
      <w:pPr>
        <w:autoSpaceDE w:val="0"/>
        <w:autoSpaceDN w:val="0"/>
        <w:adjustRightInd w:val="0"/>
        <w:ind w:firstLine="540"/>
        <w:jc w:val="right"/>
        <w:rPr>
          <w:rFonts w:eastAsia="SimSun"/>
        </w:rPr>
      </w:pPr>
      <w:r>
        <w:rPr>
          <w:rFonts w:eastAsia="SimSun"/>
        </w:rPr>
        <w:t>Рисунок № 2</w:t>
      </w:r>
    </w:p>
    <w:p w:rsidR="00B01BC1" w:rsidRDefault="00B01BC1" w:rsidP="005331BE">
      <w:pPr>
        <w:autoSpaceDE w:val="0"/>
        <w:autoSpaceDN w:val="0"/>
        <w:adjustRightInd w:val="0"/>
        <w:ind w:left="-283" w:firstLine="540"/>
        <w:jc w:val="both"/>
        <w:rPr>
          <w:rFonts w:eastAsia="SimSun"/>
        </w:rPr>
      </w:pP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t>.</w:t>
      </w:r>
      <w:r w:rsidRPr="003C3612">
        <w:rPr>
          <w:rFonts w:eastAsia="SimSun"/>
        </w:rPr>
        <w:t xml:space="preserve"> </w:t>
      </w:r>
      <w:r w:rsidRPr="00D10103">
        <w:rPr>
          <w:noProof/>
        </w:rPr>
        <w:drawing>
          <wp:inline distT="0" distB="0" distL="0" distR="0" wp14:anchorId="52416781" wp14:editId="322C9189">
            <wp:extent cx="5695950" cy="32385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2078" w:rsidRDefault="00D22078" w:rsidP="00D22078">
      <w:pPr>
        <w:autoSpaceDE w:val="0"/>
        <w:autoSpaceDN w:val="0"/>
        <w:adjustRightInd w:val="0"/>
        <w:ind w:left="-283" w:firstLine="540"/>
        <w:jc w:val="both"/>
        <w:rPr>
          <w:rFonts w:eastAsia="SimSun"/>
        </w:rPr>
      </w:pPr>
    </w:p>
    <w:p w:rsidR="00D22078" w:rsidRDefault="00D22078" w:rsidP="00D22078">
      <w:pPr>
        <w:autoSpaceDE w:val="0"/>
        <w:autoSpaceDN w:val="0"/>
        <w:adjustRightInd w:val="0"/>
        <w:ind w:firstLine="540"/>
        <w:jc w:val="both"/>
        <w:rPr>
          <w:rFonts w:eastAsia="SimSun"/>
        </w:rPr>
      </w:pPr>
      <w:r w:rsidRPr="003C3612">
        <w:t>Проектом бюджета поселения предлагается увеличить расходы бюджета поселения в 20</w:t>
      </w:r>
      <w:r>
        <w:t>22</w:t>
      </w:r>
      <w:r w:rsidRPr="003C3612">
        <w:t xml:space="preserve"> году по сравнению с текущим годом </w:t>
      </w:r>
      <w:r>
        <w:t xml:space="preserve">по трем </w:t>
      </w:r>
      <w:r w:rsidRPr="003C3612">
        <w:t>разделам</w:t>
      </w:r>
      <w:r>
        <w:t>:</w:t>
      </w:r>
      <w:r w:rsidRPr="003C3612">
        <w:rPr>
          <w:rFonts w:eastAsia="SimSun"/>
        </w:rPr>
        <w:t xml:space="preserve"> «</w:t>
      </w:r>
      <w:r>
        <w:rPr>
          <w:rFonts w:eastAsia="SimSun"/>
        </w:rPr>
        <w:t>Национальная оборона</w:t>
      </w:r>
      <w:r w:rsidRPr="003C3612">
        <w:rPr>
          <w:rFonts w:eastAsia="SimSun"/>
        </w:rPr>
        <w:t xml:space="preserve">» на </w:t>
      </w:r>
      <w:r>
        <w:rPr>
          <w:rFonts w:eastAsia="SimSun"/>
        </w:rPr>
        <w:t>4,4 % за счет средств федерального бюджета на осуществление первичного воинского учета, по разделу «Физическая культура и спорт» в 2,8 раза и по разделу «Межбюджетные трансферта» на 5,9%, снижение расходов прогнозируется по четырем разделам: «Общегосударственные расходы» на 20%, «Национальная экономика» на 59,8%, «Жилищно-коммунальное хозяйство» на 56,8 %, «Культура и кинематография» на 81%.</w:t>
      </w:r>
      <w:r w:rsidRPr="003C3612">
        <w:rPr>
          <w:rFonts w:eastAsia="SimSun"/>
        </w:rPr>
        <w:t xml:space="preserve"> </w:t>
      </w:r>
    </w:p>
    <w:p w:rsidR="00D22078" w:rsidRDefault="00D80372" w:rsidP="00D80372">
      <w:pPr>
        <w:autoSpaceDE w:val="0"/>
        <w:autoSpaceDN w:val="0"/>
        <w:adjustRightInd w:val="0"/>
        <w:ind w:firstLine="540"/>
        <w:jc w:val="both"/>
      </w:pPr>
      <w:r w:rsidRPr="005F7BC7">
        <w:t>Основную долю в структуре расходов предстоящего финансового года состав</w:t>
      </w:r>
      <w:r>
        <w:t>и</w:t>
      </w:r>
      <w:r w:rsidRPr="005F7BC7">
        <w:t xml:space="preserve">т заработная плата с начислениями </w:t>
      </w:r>
      <w:r>
        <w:t>– 5</w:t>
      </w:r>
      <w:r w:rsidR="00D22078">
        <w:t>1,8</w:t>
      </w:r>
      <w:r w:rsidRPr="005F7BC7">
        <w:t>%</w:t>
      </w:r>
      <w:r>
        <w:t>,</w:t>
      </w:r>
      <w:r w:rsidRPr="005F7BC7">
        <w:t xml:space="preserve"> или </w:t>
      </w:r>
      <w:r>
        <w:t>6</w:t>
      </w:r>
      <w:r w:rsidR="00D22078">
        <w:t>456,2 т</w:t>
      </w:r>
      <w:r w:rsidRPr="005F7BC7">
        <w:t>ыс. руб.</w:t>
      </w:r>
      <w:r>
        <w:t>, на 202</w:t>
      </w:r>
      <w:r w:rsidR="00D22078">
        <w:t>3</w:t>
      </w:r>
      <w:r>
        <w:t xml:space="preserve"> год – </w:t>
      </w:r>
      <w:r w:rsidR="00D22078">
        <w:t>70,6%</w:t>
      </w:r>
      <w:r>
        <w:t xml:space="preserve">, или </w:t>
      </w:r>
      <w:r w:rsidR="00D22078">
        <w:t>6693,5</w:t>
      </w:r>
      <w:r>
        <w:t xml:space="preserve"> тыс. руб., на 202</w:t>
      </w:r>
      <w:r w:rsidR="00D22078">
        <w:t>4 год – 58%, или 8822,1</w:t>
      </w:r>
      <w:r>
        <w:t xml:space="preserve"> тыс. руб.</w:t>
      </w:r>
      <w:r w:rsidRPr="005F7BC7">
        <w:t xml:space="preserve"> </w:t>
      </w:r>
      <w:r>
        <w:t xml:space="preserve">На закупку товаров, работ и услуг бюджетные ассигнования предусмотрены на </w:t>
      </w:r>
      <w:r w:rsidR="00D22078">
        <w:t>2022г. – 4692,8 тыс. руб., на 2024г. – 6063,6 тыс. руб.</w:t>
      </w:r>
    </w:p>
    <w:p w:rsidR="00D80372" w:rsidRPr="00EA2249" w:rsidRDefault="00D80372" w:rsidP="00D80372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D80372" w:rsidRPr="00FA4229" w:rsidRDefault="00D80372" w:rsidP="00D80372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FA4229">
        <w:rPr>
          <w:b/>
          <w:u w:val="single"/>
        </w:rPr>
        <w:t>Раздел 01 «Общегосударственные вопросы»</w:t>
      </w:r>
    </w:p>
    <w:p w:rsidR="00D80372" w:rsidRPr="00F31448" w:rsidRDefault="00D80372" w:rsidP="00D80372">
      <w:pPr>
        <w:autoSpaceDE w:val="0"/>
        <w:autoSpaceDN w:val="0"/>
        <w:adjustRightInd w:val="0"/>
        <w:ind w:firstLine="567"/>
        <w:jc w:val="both"/>
      </w:pPr>
      <w:r w:rsidRPr="00F31448">
        <w:t xml:space="preserve">По разделу отражены расходы на функционирование высшего должностного лица органа местного самоуправления, </w:t>
      </w:r>
      <w:r>
        <w:t>администрации, резервный фонд</w:t>
      </w:r>
      <w:r w:rsidRPr="00F31448">
        <w:t xml:space="preserve"> и другие общегосударственные расходы.</w:t>
      </w:r>
    </w:p>
    <w:p w:rsidR="00D22078" w:rsidRDefault="00D80372" w:rsidP="00D22078">
      <w:pPr>
        <w:autoSpaceDE w:val="0"/>
        <w:autoSpaceDN w:val="0"/>
        <w:adjustRightInd w:val="0"/>
        <w:ind w:firstLine="567"/>
        <w:jc w:val="both"/>
      </w:pPr>
      <w:r w:rsidRPr="00F31448">
        <w:t xml:space="preserve">Общий объем расходов по данному разделу запланирован на </w:t>
      </w:r>
      <w:r>
        <w:t>2</w:t>
      </w:r>
      <w:r w:rsidR="00D22078">
        <w:t>022</w:t>
      </w:r>
      <w:r w:rsidRPr="00F31448">
        <w:t xml:space="preserve"> год в сумме</w:t>
      </w:r>
      <w:r w:rsidR="00D22078">
        <w:t xml:space="preserve"> 4341,7 тыс. руб., что составит 80% к ожидаемому исполнению 2021 года, или 34,9 % от общего объема планируемых расходов. На 2023 и 2024 годы расходы на решение общегосударственных вопросов запланированы в объеме 3693 тыс. руб. и 5865,3 тыс. руб. соответственно.</w:t>
      </w:r>
    </w:p>
    <w:p w:rsidR="00D80372" w:rsidRPr="00CC3AA4" w:rsidRDefault="00D80372" w:rsidP="00D22078">
      <w:pPr>
        <w:autoSpaceDE w:val="0"/>
        <w:autoSpaceDN w:val="0"/>
        <w:adjustRightInd w:val="0"/>
        <w:ind w:firstLine="567"/>
        <w:jc w:val="both"/>
      </w:pPr>
      <w:r w:rsidRPr="00F31448">
        <w:t xml:space="preserve"> </w:t>
      </w:r>
      <w:r w:rsidRPr="00F02194">
        <w:rPr>
          <w:b/>
        </w:rPr>
        <w:t>По подразделу 0102 «Функционирование высшего должностного лица»</w:t>
      </w:r>
      <w:r w:rsidRPr="00F02194">
        <w:t xml:space="preserve"> предусмотрен объем расходов на содержание главы муниципального образования в </w:t>
      </w:r>
      <w:r>
        <w:t>202</w:t>
      </w:r>
      <w:r w:rsidR="00D22078">
        <w:t>2</w:t>
      </w:r>
      <w:r w:rsidRPr="00F02194">
        <w:t xml:space="preserve"> году в сумме </w:t>
      </w:r>
      <w:r w:rsidR="00D22078">
        <w:t xml:space="preserve">808 </w:t>
      </w:r>
      <w:r w:rsidRPr="00F02194">
        <w:t>тыс. рублей</w:t>
      </w:r>
      <w:r w:rsidRPr="00886859">
        <w:t>,</w:t>
      </w:r>
      <w:r w:rsidRPr="00A441D3">
        <w:rPr>
          <w:color w:val="FF0000"/>
        </w:rPr>
        <w:t xml:space="preserve"> </w:t>
      </w:r>
      <w:r w:rsidRPr="002E7350">
        <w:t>что</w:t>
      </w:r>
      <w:r w:rsidRPr="00110949">
        <w:t xml:space="preserve"> составит </w:t>
      </w:r>
      <w:r w:rsidR="00D22078">
        <w:t>68,3</w:t>
      </w:r>
      <w:r w:rsidRPr="00110949">
        <w:t xml:space="preserve">% к ожидаемому исполнению </w:t>
      </w:r>
      <w:r>
        <w:t>202</w:t>
      </w:r>
      <w:r w:rsidR="00D22078">
        <w:t>1</w:t>
      </w:r>
      <w:r w:rsidRPr="00110949">
        <w:t xml:space="preserve"> года</w:t>
      </w:r>
      <w:r>
        <w:t xml:space="preserve"> (1</w:t>
      </w:r>
      <w:r w:rsidR="00D22078">
        <w:t>183</w:t>
      </w:r>
      <w:r>
        <w:t>тыс. руб.)</w:t>
      </w:r>
      <w:r w:rsidRPr="00110949">
        <w:t>.</w:t>
      </w:r>
      <w:r>
        <w:t xml:space="preserve"> Согласно пояснительной записке к Проекту расходы на заработную плату на 2021г. предусмотрены на 8 месяцев.</w:t>
      </w:r>
      <w:r w:rsidR="00D22078">
        <w:t xml:space="preserve"> На 2023 год расходы на оплату труда главы </w:t>
      </w:r>
      <w:r w:rsidR="00D22078">
        <w:lastRenderedPageBreak/>
        <w:t xml:space="preserve">поселения предусмотрены в сумме 797,2 тыс. руб., на 2024 год – 1193,6 тыс. руб. Расходы предусмотрены на 8 месяцев и 12 месяцев соответственно.  </w:t>
      </w:r>
      <w:r w:rsidRPr="00467045">
        <w:t>Расходы на оплату труда главы не превышают нормативов, установленных Правительством Иркутской области</w:t>
      </w:r>
      <w:r>
        <w:t>.</w:t>
      </w:r>
    </w:p>
    <w:p w:rsidR="00D80372" w:rsidRDefault="00D80372" w:rsidP="00D80372">
      <w:pPr>
        <w:pStyle w:val="a9"/>
        <w:spacing w:after="0"/>
        <w:ind w:firstLine="539"/>
        <w:jc w:val="both"/>
        <w:rPr>
          <w:b/>
        </w:rPr>
      </w:pPr>
      <w:r w:rsidRPr="000F7DDB">
        <w:rPr>
          <w:b/>
          <w:color w:val="000000"/>
        </w:rPr>
        <w:t xml:space="preserve">По подразделу 0104 «Функционирование местных администраций» </w:t>
      </w:r>
      <w:r w:rsidRPr="00AF1C74">
        <w:rPr>
          <w:color w:val="000000"/>
        </w:rPr>
        <w:t xml:space="preserve">объем расходов на содержание администрации в </w:t>
      </w:r>
      <w:r w:rsidR="00D9234C">
        <w:rPr>
          <w:color w:val="000000"/>
        </w:rPr>
        <w:t>2022</w:t>
      </w:r>
      <w:r>
        <w:rPr>
          <w:color w:val="000000"/>
        </w:rPr>
        <w:t xml:space="preserve"> </w:t>
      </w:r>
      <w:r w:rsidRPr="00AF1C74">
        <w:rPr>
          <w:color w:val="000000"/>
        </w:rPr>
        <w:t>год</w:t>
      </w:r>
      <w:r>
        <w:rPr>
          <w:color w:val="000000"/>
        </w:rPr>
        <w:t>у</w:t>
      </w:r>
      <w:r w:rsidRPr="00AF1C74">
        <w:rPr>
          <w:color w:val="000000"/>
        </w:rPr>
        <w:t xml:space="preserve"> предусмотрен в сумме </w:t>
      </w:r>
      <w:r w:rsidR="00D9234C">
        <w:rPr>
          <w:color w:val="000000"/>
        </w:rPr>
        <w:t>3131</w:t>
      </w:r>
      <w:r w:rsidRPr="00AF1C74">
        <w:rPr>
          <w:color w:val="000000"/>
        </w:rPr>
        <w:t xml:space="preserve">тыс. рублей, что составит </w:t>
      </w:r>
      <w:r>
        <w:rPr>
          <w:color w:val="000000"/>
        </w:rPr>
        <w:t>7</w:t>
      </w:r>
      <w:r w:rsidR="00D9234C">
        <w:rPr>
          <w:color w:val="000000"/>
        </w:rPr>
        <w:t>4</w:t>
      </w:r>
      <w:r w:rsidRPr="00AF1C74">
        <w:rPr>
          <w:color w:val="000000"/>
        </w:rPr>
        <w:t xml:space="preserve">% к ожидаемому исполнению </w:t>
      </w:r>
      <w:r>
        <w:rPr>
          <w:color w:val="000000"/>
        </w:rPr>
        <w:t>202</w:t>
      </w:r>
      <w:r w:rsidR="00D9234C">
        <w:rPr>
          <w:color w:val="000000"/>
        </w:rPr>
        <w:t>1</w:t>
      </w:r>
      <w:r w:rsidRPr="00AF1C74">
        <w:rPr>
          <w:color w:val="000000"/>
        </w:rPr>
        <w:t xml:space="preserve"> года, в том</w:t>
      </w:r>
      <w:r w:rsidRPr="00AF1C74">
        <w:rPr>
          <w:color w:val="FF0000"/>
        </w:rPr>
        <w:t xml:space="preserve"> </w:t>
      </w:r>
      <w:r w:rsidRPr="00AF1C74">
        <w:rPr>
          <w:color w:val="000000"/>
        </w:rPr>
        <w:t xml:space="preserve">числе на заработную плату труда и начисления на оплату труда планируется направить </w:t>
      </w:r>
      <w:r>
        <w:rPr>
          <w:color w:val="000000"/>
        </w:rPr>
        <w:t>2</w:t>
      </w:r>
      <w:r w:rsidR="00D9234C">
        <w:rPr>
          <w:color w:val="000000"/>
        </w:rPr>
        <w:t>532,2</w:t>
      </w:r>
      <w:r w:rsidRPr="00AF1C74">
        <w:rPr>
          <w:color w:val="000000"/>
        </w:rPr>
        <w:t xml:space="preserve"> тыс. рублей</w:t>
      </w:r>
      <w:r w:rsidRPr="00AF1C74">
        <w:t>, на</w:t>
      </w:r>
      <w:r w:rsidRPr="00AF1C74">
        <w:rPr>
          <w:color w:val="FF0000"/>
        </w:rPr>
        <w:t xml:space="preserve"> </w:t>
      </w:r>
      <w:r w:rsidRPr="00AF1C74">
        <w:rPr>
          <w:color w:val="000000"/>
        </w:rPr>
        <w:t xml:space="preserve">закупку товаров, работ и услуг – </w:t>
      </w:r>
      <w:r w:rsidR="00D9234C">
        <w:rPr>
          <w:color w:val="000000"/>
        </w:rPr>
        <w:t>588</w:t>
      </w:r>
      <w:r w:rsidRPr="00AF1C74">
        <w:rPr>
          <w:color w:val="000000"/>
        </w:rPr>
        <w:t xml:space="preserve"> тыс. рублей</w:t>
      </w:r>
      <w:r>
        <w:rPr>
          <w:color w:val="000000"/>
        </w:rPr>
        <w:t xml:space="preserve">. </w:t>
      </w:r>
      <w:r w:rsidRPr="00AF1C74">
        <w:rPr>
          <w:color w:val="000000"/>
        </w:rPr>
        <w:t xml:space="preserve">Удельный вес расходов по подразделу в общем объеме расходов бюджета составит </w:t>
      </w:r>
      <w:r>
        <w:rPr>
          <w:color w:val="000000"/>
        </w:rPr>
        <w:t>25,</w:t>
      </w:r>
      <w:r w:rsidR="00D9234C">
        <w:rPr>
          <w:color w:val="000000"/>
        </w:rPr>
        <w:t>1%</w:t>
      </w:r>
      <w:r w:rsidRPr="00AF1C74">
        <w:t>. Согласно пояснительной записке расходы на зар</w:t>
      </w:r>
      <w:r>
        <w:t xml:space="preserve">аботную плату предусмотрены на </w:t>
      </w:r>
      <w:r w:rsidR="00D9234C">
        <w:t>8</w:t>
      </w:r>
      <w:r w:rsidRPr="00AF1C74">
        <w:t xml:space="preserve"> месяцев. </w:t>
      </w:r>
      <w:r>
        <w:t xml:space="preserve"> В составе расходов на закупку товаров, работ и услуг для муниципальных нужд предусмотрено расходы на услу</w:t>
      </w:r>
      <w:r w:rsidR="00D9234C">
        <w:t>ги связи, коммунальные услуги (60</w:t>
      </w:r>
      <w:r>
        <w:t xml:space="preserve"> тыс.</w:t>
      </w:r>
      <w:r w:rsidR="00D9234C">
        <w:t xml:space="preserve"> </w:t>
      </w:r>
      <w:r>
        <w:t xml:space="preserve">руб.), услуги по содержанию имущества, приобретение ГСМ, прочие расходы. </w:t>
      </w:r>
      <w:r w:rsidRPr="00FC782C">
        <w:t>По</w:t>
      </w:r>
      <w:r w:rsidRPr="00FC782C">
        <w:rPr>
          <w:b/>
        </w:rPr>
        <w:t xml:space="preserve"> подразделу 0104 предусмотрены расходы на реализацию мероприя</w:t>
      </w:r>
      <w:r w:rsidR="00D9234C" w:rsidRPr="00FC782C">
        <w:rPr>
          <w:b/>
        </w:rPr>
        <w:t xml:space="preserve">тий народных инициатив в сумме 50 </w:t>
      </w:r>
      <w:r w:rsidRPr="00FC782C">
        <w:rPr>
          <w:b/>
        </w:rPr>
        <w:t>тыс.</w:t>
      </w:r>
      <w:r w:rsidR="004B6071" w:rsidRPr="00FC782C">
        <w:rPr>
          <w:b/>
        </w:rPr>
        <w:t xml:space="preserve"> </w:t>
      </w:r>
      <w:r w:rsidRPr="00FC782C">
        <w:rPr>
          <w:b/>
        </w:rPr>
        <w:t>руб. по коду целевой статьи расходов 71803</w:t>
      </w:r>
      <w:r w:rsidRPr="00FC782C">
        <w:rPr>
          <w:b/>
          <w:lang w:val="en-US"/>
        </w:rPr>
        <w:t>S</w:t>
      </w:r>
      <w:r w:rsidRPr="00FC782C">
        <w:rPr>
          <w:b/>
        </w:rPr>
        <w:t>2370 «расходы на реализацию мероприятий перечня проектов народных инициатив» в сфере благоустройства. В соответствии с приказом ФУА МО Куйтунский район от 11.12.2019 № 65 данные расходы должны быть запланированы по подразделу 0503 «Благоустройство».</w:t>
      </w:r>
    </w:p>
    <w:p w:rsidR="00211FA1" w:rsidRPr="00CB75DF" w:rsidRDefault="002C31C3" w:rsidP="00D80372">
      <w:pPr>
        <w:pStyle w:val="a9"/>
        <w:spacing w:after="0"/>
        <w:ind w:firstLine="539"/>
        <w:jc w:val="both"/>
      </w:pPr>
      <w:r>
        <w:rPr>
          <w:b/>
        </w:rPr>
        <w:t>По подразделу</w:t>
      </w:r>
      <w:r w:rsidR="00211FA1">
        <w:rPr>
          <w:b/>
        </w:rPr>
        <w:t xml:space="preserve"> 0107 «Обеспечение выборов и референдумов». </w:t>
      </w:r>
      <w:r w:rsidR="00211FA1" w:rsidRPr="00211FA1">
        <w:t>В</w:t>
      </w:r>
      <w:r w:rsidR="00211FA1">
        <w:rPr>
          <w:b/>
        </w:rPr>
        <w:t xml:space="preserve"> </w:t>
      </w:r>
      <w:r w:rsidR="00211FA1" w:rsidRPr="00211FA1">
        <w:t>2022 году</w:t>
      </w:r>
      <w:r w:rsidR="00211FA1">
        <w:t xml:space="preserve"> на </w:t>
      </w:r>
      <w:r w:rsidR="00C3239B">
        <w:t xml:space="preserve">территории поселения </w:t>
      </w:r>
      <w:r w:rsidR="00211FA1" w:rsidRPr="00211FA1">
        <w:t xml:space="preserve">  </w:t>
      </w:r>
      <w:r w:rsidR="00C3239B">
        <w:t xml:space="preserve">состоятся муниципальные выборы. </w:t>
      </w:r>
      <w:r w:rsidR="00211FA1" w:rsidRPr="00211FA1">
        <w:t xml:space="preserve">Согласно смете расходов </w:t>
      </w:r>
      <w:proofErr w:type="spellStart"/>
      <w:r w:rsidR="00C3239B">
        <w:t>Куйтунской</w:t>
      </w:r>
      <w:proofErr w:type="spellEnd"/>
      <w:r w:rsidR="00C3239B">
        <w:t xml:space="preserve"> ТИК на подготовку и проведение выборов главы, и депутатов Думы </w:t>
      </w:r>
      <w:proofErr w:type="spellStart"/>
      <w:r w:rsidR="00C3239B">
        <w:t>Каразейского</w:t>
      </w:r>
      <w:proofErr w:type="spellEnd"/>
      <w:r w:rsidR="00C3239B">
        <w:t xml:space="preserve"> МО </w:t>
      </w:r>
      <w:r w:rsidR="00CB75DF">
        <w:t xml:space="preserve">предусмотрены бюджетные ассигнования в сумме 392,7 тыс. руб. В проекте бюджета на обеспечение выборов запланировано </w:t>
      </w:r>
      <w:r w:rsidR="00CB75DF" w:rsidRPr="00CB75DF">
        <w:rPr>
          <w:b/>
        </w:rPr>
        <w:t>392 тыс. руб.</w:t>
      </w:r>
      <w:r w:rsidR="00CB75DF">
        <w:rPr>
          <w:b/>
        </w:rPr>
        <w:t xml:space="preserve">, </w:t>
      </w:r>
      <w:r w:rsidR="00CB75DF">
        <w:t>или 99,8% от потребности.</w:t>
      </w:r>
    </w:p>
    <w:p w:rsidR="00D80372" w:rsidRPr="00F703D4" w:rsidRDefault="00D80372" w:rsidP="00D80372">
      <w:pPr>
        <w:ind w:firstLine="540"/>
        <w:jc w:val="both"/>
        <w:rPr>
          <w:color w:val="000000"/>
        </w:rPr>
      </w:pPr>
      <w:r w:rsidRPr="00F703D4">
        <w:rPr>
          <w:color w:val="000000"/>
        </w:rPr>
        <w:t xml:space="preserve">Расходы по </w:t>
      </w:r>
      <w:r w:rsidRPr="00F703D4">
        <w:rPr>
          <w:b/>
          <w:bCs/>
          <w:color w:val="000000"/>
        </w:rPr>
        <w:t xml:space="preserve">подразделу 0111 «Резервные фонды» </w:t>
      </w:r>
      <w:r w:rsidRPr="00F703D4">
        <w:rPr>
          <w:color w:val="000000"/>
        </w:rPr>
        <w:t xml:space="preserve">сформированы </w:t>
      </w:r>
      <w:r>
        <w:rPr>
          <w:color w:val="000000"/>
        </w:rPr>
        <w:t xml:space="preserve">на каждый год трехлетнего периода </w:t>
      </w:r>
      <w:r w:rsidRPr="00F703D4">
        <w:rPr>
          <w:color w:val="000000"/>
        </w:rPr>
        <w:t>в сумме по</w:t>
      </w:r>
      <w:r>
        <w:rPr>
          <w:color w:val="000000"/>
        </w:rPr>
        <w:t xml:space="preserve"> 10</w:t>
      </w:r>
      <w:r w:rsidRPr="00F703D4">
        <w:rPr>
          <w:color w:val="000000"/>
        </w:rPr>
        <w:t>тыс. рублей, что составляет по 0,</w:t>
      </w:r>
      <w:r>
        <w:rPr>
          <w:color w:val="000000"/>
        </w:rPr>
        <w:t>1</w:t>
      </w:r>
      <w:r w:rsidRPr="00F703D4">
        <w:rPr>
          <w:color w:val="000000"/>
        </w:rPr>
        <w:t>% от всех расходов бюджета поселения и не превышает норматив, установленный ст. 81 БК РФ</w:t>
      </w:r>
      <w:r>
        <w:rPr>
          <w:color w:val="000000"/>
        </w:rPr>
        <w:t xml:space="preserve"> (3%)</w:t>
      </w:r>
      <w:r w:rsidRPr="00F703D4">
        <w:rPr>
          <w:color w:val="000000"/>
        </w:rPr>
        <w:t>.</w:t>
      </w:r>
    </w:p>
    <w:p w:rsidR="00D80372" w:rsidRPr="001770CA" w:rsidRDefault="00D80372" w:rsidP="00D80372">
      <w:pPr>
        <w:ind w:firstLine="567"/>
        <w:jc w:val="both"/>
      </w:pPr>
      <w:r w:rsidRPr="001770CA">
        <w:t xml:space="preserve">Расходы по </w:t>
      </w:r>
      <w:r w:rsidRPr="001770CA">
        <w:rPr>
          <w:b/>
          <w:bCs/>
        </w:rPr>
        <w:t xml:space="preserve">подразделу 0113 «Другие общегосударственные вопросы» </w:t>
      </w:r>
      <w:r w:rsidRPr="0011428E">
        <w:rPr>
          <w:bCs/>
        </w:rPr>
        <w:t>на плановый период сформированы в сумме по 0,7 тыс. рублей ежегодно</w:t>
      </w:r>
      <w:r w:rsidRPr="001770CA">
        <w:t xml:space="preserve"> за счет средств областного бюджета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правонарушениях.</w:t>
      </w:r>
      <w:r>
        <w:t xml:space="preserve"> </w:t>
      </w:r>
    </w:p>
    <w:p w:rsidR="00D80372" w:rsidRPr="001770CA" w:rsidRDefault="00D80372" w:rsidP="00D80372">
      <w:pPr>
        <w:ind w:firstLine="540"/>
        <w:jc w:val="both"/>
      </w:pPr>
    </w:p>
    <w:p w:rsidR="00D80372" w:rsidRPr="004846BB" w:rsidRDefault="00D80372" w:rsidP="00D80372">
      <w:pPr>
        <w:ind w:firstLine="180"/>
        <w:jc w:val="center"/>
        <w:rPr>
          <w:b/>
          <w:color w:val="000000"/>
          <w:u w:val="single"/>
        </w:rPr>
      </w:pPr>
      <w:r w:rsidRPr="004846BB">
        <w:rPr>
          <w:b/>
          <w:color w:val="000000"/>
          <w:u w:val="single"/>
        </w:rPr>
        <w:t>Раздел 02 «Национальная оборона»</w:t>
      </w:r>
    </w:p>
    <w:p w:rsidR="00D80372" w:rsidRDefault="00D80372" w:rsidP="00D8037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846BB">
        <w:rPr>
          <w:color w:val="000000"/>
        </w:rPr>
        <w:t xml:space="preserve">В данном разделе предусмотрены ассигнования </w:t>
      </w:r>
      <w:r w:rsidRPr="004846BB">
        <w:rPr>
          <w:b/>
          <w:color w:val="000000"/>
        </w:rPr>
        <w:t>по подразделу</w:t>
      </w:r>
      <w:r w:rsidRPr="004846BB">
        <w:rPr>
          <w:color w:val="000000"/>
        </w:rPr>
        <w:t xml:space="preserve"> </w:t>
      </w:r>
      <w:r w:rsidRPr="004846BB">
        <w:rPr>
          <w:b/>
          <w:color w:val="000000"/>
        </w:rPr>
        <w:t xml:space="preserve">0203 «Мобилизационная и вневойсковая подготовка» </w:t>
      </w:r>
      <w:r w:rsidRPr="004846BB">
        <w:rPr>
          <w:color w:val="000000"/>
        </w:rPr>
        <w:t xml:space="preserve">(расходы за счет средств федерального бюджета на осуществление первичного воинского учета). </w:t>
      </w:r>
    </w:p>
    <w:p w:rsidR="00992FEB" w:rsidRDefault="00992FEB" w:rsidP="00992FEB">
      <w:pPr>
        <w:ind w:firstLine="708"/>
        <w:jc w:val="both"/>
      </w:pPr>
      <w:r>
        <w:t xml:space="preserve">Согласно оценке ожидаемого исполнения бюджета поселения в 2021 году по подразделу 0203 расходы составят 137,3 тыс. рублей. На 2022 год проектом бюджета аналогичные расходы предусмотрены в сумме 143,4 тыс. руб., что составит 104,4 % к оценке исполнения 2021 года и 1,2% от общего объема планируемых расходов. Расходы предусмотрены на оплату труда специалиста ВУС в сумме </w:t>
      </w:r>
      <w:r w:rsidR="00905146">
        <w:t>131,1 тыс. руб., на закупку товаров, работ и услуг – 12,3 тыс. руб.</w:t>
      </w:r>
    </w:p>
    <w:p w:rsidR="00992FEB" w:rsidRDefault="00992FEB" w:rsidP="00992FEB">
      <w:pPr>
        <w:autoSpaceDE w:val="0"/>
        <w:autoSpaceDN w:val="0"/>
        <w:adjustRightInd w:val="0"/>
        <w:ind w:firstLine="340"/>
        <w:jc w:val="both"/>
      </w:pPr>
      <w:r>
        <w:t>На плановый период расходы по данному подразделу прогнозируются с некоторым ростом и составят в 202</w:t>
      </w:r>
      <w:r w:rsidR="00905146">
        <w:t>3</w:t>
      </w:r>
      <w:r>
        <w:t xml:space="preserve">г. </w:t>
      </w:r>
      <w:r w:rsidR="00905146">
        <w:t xml:space="preserve">– </w:t>
      </w:r>
      <w:r>
        <w:t>1</w:t>
      </w:r>
      <w:r w:rsidR="00905146">
        <w:t>48,4</w:t>
      </w:r>
      <w:r>
        <w:t xml:space="preserve"> тыс. руб., в 202</w:t>
      </w:r>
      <w:r w:rsidR="00905146">
        <w:t>4г. – 153,7</w:t>
      </w:r>
      <w:r>
        <w:t xml:space="preserve"> тыс. руб.</w:t>
      </w:r>
    </w:p>
    <w:p w:rsidR="00905146" w:rsidRDefault="00905146" w:rsidP="00D80372">
      <w:pPr>
        <w:ind w:firstLine="180"/>
        <w:jc w:val="center"/>
        <w:rPr>
          <w:b/>
          <w:u w:val="single"/>
        </w:rPr>
      </w:pPr>
    </w:p>
    <w:p w:rsidR="00D80372" w:rsidRPr="00F64805" w:rsidRDefault="00D80372" w:rsidP="00D80372">
      <w:pPr>
        <w:ind w:firstLine="180"/>
        <w:jc w:val="center"/>
        <w:rPr>
          <w:b/>
          <w:u w:val="single"/>
        </w:rPr>
      </w:pPr>
      <w:r w:rsidRPr="00F64805">
        <w:rPr>
          <w:b/>
          <w:u w:val="single"/>
        </w:rPr>
        <w:t>Раздел 03 «Национальная безопасность и правоохранительная деятельность»</w:t>
      </w:r>
    </w:p>
    <w:p w:rsidR="0056224D" w:rsidRDefault="00D80372" w:rsidP="00D80372">
      <w:pPr>
        <w:autoSpaceDE w:val="0"/>
        <w:autoSpaceDN w:val="0"/>
        <w:adjustRightInd w:val="0"/>
        <w:ind w:firstLine="539"/>
        <w:jc w:val="both"/>
      </w:pPr>
      <w:r w:rsidRPr="00F64805">
        <w:t xml:space="preserve">В </w:t>
      </w:r>
      <w:r>
        <w:t>202</w:t>
      </w:r>
      <w:r w:rsidR="0056224D">
        <w:t xml:space="preserve">1 </w:t>
      </w:r>
      <w:r>
        <w:t xml:space="preserve">году ожидается исполнение </w:t>
      </w:r>
      <w:r w:rsidRPr="00D91216">
        <w:t>по подразделу 03</w:t>
      </w:r>
      <w:r>
        <w:t>10</w:t>
      </w:r>
      <w:r w:rsidRPr="00D91216">
        <w:t xml:space="preserve"> «</w:t>
      </w:r>
      <w:r w:rsidRPr="00F92EEB">
        <w:t>Защита населения и территории от чрезвычайных ситуаций природного и техногенного х</w:t>
      </w:r>
      <w:r>
        <w:t>арактера, пожарная безопасность</w:t>
      </w:r>
      <w:r w:rsidRPr="00D91216">
        <w:t>»</w:t>
      </w:r>
      <w:r>
        <w:t xml:space="preserve"> в сумме </w:t>
      </w:r>
      <w:r w:rsidR="0056224D">
        <w:t>40</w:t>
      </w:r>
      <w:r>
        <w:t xml:space="preserve"> тыс. руб</w:t>
      </w:r>
      <w:r w:rsidRPr="00D91216">
        <w:t>.</w:t>
      </w:r>
      <w:r>
        <w:t xml:space="preserve"> </w:t>
      </w:r>
      <w:r w:rsidR="0056224D">
        <w:t>Проектом бюджета бюджетные ассигнования по данному подразделу на 2022 год предусмотрены в сумме 40 тыс. руб. для опашки противопожарной полосы.</w:t>
      </w:r>
      <w:r w:rsidR="0020646C">
        <w:t xml:space="preserve"> На 2023 год бюджетные ассигнования предусмотрены в сумме </w:t>
      </w:r>
      <w:r w:rsidR="0020646C">
        <w:lastRenderedPageBreak/>
        <w:t>20 тыс. руб., на 2024 год – 100 тыс. руб. Расходы предусмотрены для проведения противопожарной полосы.</w:t>
      </w:r>
    </w:p>
    <w:p w:rsidR="0056224D" w:rsidRDefault="0056224D" w:rsidP="00D80372">
      <w:pPr>
        <w:pStyle w:val="a9"/>
        <w:spacing w:after="0"/>
        <w:ind w:left="360"/>
        <w:jc w:val="center"/>
        <w:rPr>
          <w:b/>
          <w:color w:val="000000"/>
          <w:u w:val="single"/>
        </w:rPr>
      </w:pPr>
    </w:p>
    <w:p w:rsidR="00D80372" w:rsidRPr="001F2B5C" w:rsidRDefault="00D80372" w:rsidP="00D80372">
      <w:pPr>
        <w:pStyle w:val="a9"/>
        <w:spacing w:after="0"/>
        <w:ind w:left="360"/>
        <w:jc w:val="center"/>
        <w:rPr>
          <w:b/>
          <w:color w:val="000000"/>
          <w:u w:val="single"/>
        </w:rPr>
      </w:pPr>
      <w:r w:rsidRPr="001F2B5C">
        <w:rPr>
          <w:b/>
          <w:color w:val="000000"/>
          <w:u w:val="single"/>
        </w:rPr>
        <w:t>Раздел 04 «Национальная экономика»</w:t>
      </w:r>
    </w:p>
    <w:p w:rsidR="00DC5E8A" w:rsidRDefault="00D80372" w:rsidP="00D80372">
      <w:pPr>
        <w:autoSpaceDE w:val="0"/>
        <w:autoSpaceDN w:val="0"/>
        <w:adjustRightInd w:val="0"/>
        <w:ind w:firstLine="540"/>
        <w:jc w:val="both"/>
      </w:pPr>
      <w:r>
        <w:t>Ожидаемое исполнение в 202</w:t>
      </w:r>
      <w:r w:rsidR="00DC5E8A">
        <w:t>1</w:t>
      </w:r>
      <w:r w:rsidRPr="001F2B5C">
        <w:t xml:space="preserve"> году составит </w:t>
      </w:r>
      <w:r w:rsidR="00DC5E8A">
        <w:t>3172,4</w:t>
      </w:r>
      <w:r w:rsidRPr="001F2B5C">
        <w:t xml:space="preserve"> тыс. руб. </w:t>
      </w:r>
      <w:r>
        <w:t>П</w:t>
      </w:r>
      <w:r w:rsidRPr="001F2B5C">
        <w:t xml:space="preserve">роектом бюджета предлагается утвердить расходы на </w:t>
      </w:r>
      <w:r>
        <w:t>202</w:t>
      </w:r>
      <w:r w:rsidR="00DC5E8A">
        <w:t>2</w:t>
      </w:r>
      <w:r w:rsidRPr="001F2B5C">
        <w:t xml:space="preserve"> год в объеме </w:t>
      </w:r>
      <w:r>
        <w:t>1</w:t>
      </w:r>
      <w:r w:rsidR="00DC5E8A">
        <w:t>274,7</w:t>
      </w:r>
      <w:r w:rsidRPr="001F2B5C">
        <w:t xml:space="preserve"> тыс. руб., или </w:t>
      </w:r>
      <w:r w:rsidR="00DC5E8A">
        <w:t xml:space="preserve">40,2% к оценке 2021г., на 2023 год – 1301 тыс. руб., на 2024 год – 1468,9 тыс. руб. Удельный вес расходов на национальную экономику в общем </w:t>
      </w:r>
      <w:proofErr w:type="gramStart"/>
      <w:r w:rsidR="00DC5E8A">
        <w:t>объеме  расходов</w:t>
      </w:r>
      <w:proofErr w:type="gramEnd"/>
      <w:r w:rsidR="00DC5E8A">
        <w:t xml:space="preserve"> бюджета поселения в 202</w:t>
      </w:r>
      <w:r w:rsidR="00B82571">
        <w:t>2</w:t>
      </w:r>
      <w:r w:rsidR="00DC5E8A">
        <w:t xml:space="preserve"> году составляет 10,2%, в 2023 году – 13,6%, в 2024 году – 9,7%.</w:t>
      </w:r>
    </w:p>
    <w:p w:rsidR="00D80372" w:rsidRDefault="00D80372" w:rsidP="00D80372">
      <w:pPr>
        <w:autoSpaceDE w:val="0"/>
        <w:autoSpaceDN w:val="0"/>
        <w:adjustRightInd w:val="0"/>
        <w:ind w:firstLine="540"/>
        <w:jc w:val="both"/>
      </w:pPr>
      <w:r>
        <w:t>В составе вышеуказанных ассигнований предусмотрены расходы:</w:t>
      </w:r>
    </w:p>
    <w:p w:rsidR="00D80372" w:rsidRDefault="00D80372" w:rsidP="00D8037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- </w:t>
      </w:r>
      <w:r>
        <w:rPr>
          <w:b/>
        </w:rPr>
        <w:t>по подразделу 0401 «Общеэкономические вопросы»</w:t>
      </w:r>
      <w:r w:rsidRPr="0013018F">
        <w:rPr>
          <w:color w:val="000000"/>
        </w:rPr>
        <w:t xml:space="preserve"> </w:t>
      </w:r>
      <w:r>
        <w:rPr>
          <w:color w:val="000000"/>
        </w:rPr>
        <w:t xml:space="preserve">расходы </w:t>
      </w:r>
      <w:r w:rsidRPr="0013018F">
        <w:rPr>
          <w:color w:val="000000"/>
        </w:rPr>
        <w:t xml:space="preserve">на осуществление отдельных госполномочий по регулированию тарифов ЖКХ в </w:t>
      </w:r>
      <w:r>
        <w:rPr>
          <w:color w:val="000000"/>
        </w:rPr>
        <w:t>202</w:t>
      </w:r>
      <w:r w:rsidR="004B7319">
        <w:rPr>
          <w:color w:val="000000"/>
        </w:rPr>
        <w:t>1</w:t>
      </w:r>
      <w:r w:rsidRPr="0013018F">
        <w:rPr>
          <w:color w:val="000000"/>
        </w:rPr>
        <w:t xml:space="preserve">г. ожидаются </w:t>
      </w:r>
      <w:r>
        <w:rPr>
          <w:color w:val="000000"/>
        </w:rPr>
        <w:t xml:space="preserve">в объеме </w:t>
      </w:r>
      <w:r w:rsidR="004B7319">
        <w:rPr>
          <w:color w:val="000000"/>
        </w:rPr>
        <w:t xml:space="preserve">52,4 </w:t>
      </w:r>
      <w:r w:rsidRPr="0013018F">
        <w:rPr>
          <w:color w:val="000000"/>
        </w:rPr>
        <w:t>тыс. руб.</w:t>
      </w:r>
      <w:r>
        <w:rPr>
          <w:color w:val="000000"/>
        </w:rPr>
        <w:t xml:space="preserve"> Н</w:t>
      </w:r>
      <w:r w:rsidRPr="0013018F">
        <w:rPr>
          <w:color w:val="000000"/>
        </w:rPr>
        <w:t xml:space="preserve">а </w:t>
      </w:r>
      <w:r w:rsidR="004B7319">
        <w:rPr>
          <w:color w:val="000000"/>
        </w:rPr>
        <w:t>202</w:t>
      </w:r>
      <w:r w:rsidR="00D56A80">
        <w:rPr>
          <w:color w:val="000000"/>
        </w:rPr>
        <w:t>2</w:t>
      </w:r>
      <w:r w:rsidR="004B7319">
        <w:rPr>
          <w:color w:val="000000"/>
        </w:rPr>
        <w:t xml:space="preserve"> год и плановый период 2023</w:t>
      </w:r>
      <w:r w:rsidRPr="0013018F">
        <w:rPr>
          <w:color w:val="000000"/>
        </w:rPr>
        <w:t xml:space="preserve"> и </w:t>
      </w:r>
      <w:r>
        <w:rPr>
          <w:color w:val="000000"/>
        </w:rPr>
        <w:t>202</w:t>
      </w:r>
      <w:r w:rsidR="004B7319">
        <w:rPr>
          <w:color w:val="000000"/>
        </w:rPr>
        <w:t>4</w:t>
      </w:r>
      <w:r w:rsidRPr="0013018F">
        <w:rPr>
          <w:color w:val="000000"/>
        </w:rPr>
        <w:t xml:space="preserve">г. </w:t>
      </w:r>
      <w:r>
        <w:rPr>
          <w:color w:val="000000"/>
        </w:rPr>
        <w:t xml:space="preserve">указанные расходы </w:t>
      </w:r>
      <w:r w:rsidRPr="0013018F">
        <w:rPr>
          <w:color w:val="000000"/>
        </w:rPr>
        <w:t>прогнозируются в объеме</w:t>
      </w:r>
      <w:r>
        <w:rPr>
          <w:color w:val="000000"/>
        </w:rPr>
        <w:t xml:space="preserve"> по 47,</w:t>
      </w:r>
      <w:r w:rsidR="004B7319">
        <w:rPr>
          <w:color w:val="000000"/>
        </w:rPr>
        <w:t xml:space="preserve">3 </w:t>
      </w:r>
      <w:r w:rsidRPr="0013018F">
        <w:rPr>
          <w:color w:val="000000"/>
        </w:rPr>
        <w:t>тыс. руб.</w:t>
      </w:r>
      <w:r>
        <w:rPr>
          <w:color w:val="000000"/>
        </w:rPr>
        <w:t xml:space="preserve"> ежегодно.</w:t>
      </w:r>
      <w:r w:rsidRPr="0013018F">
        <w:rPr>
          <w:color w:val="000000"/>
        </w:rPr>
        <w:t xml:space="preserve"> Расходы на выполнение госполномочий отражены в размере запланированной субвенции на эти цели</w:t>
      </w:r>
      <w:r>
        <w:rPr>
          <w:color w:val="000000"/>
        </w:rPr>
        <w:t xml:space="preserve"> </w:t>
      </w:r>
      <w:r w:rsidRPr="00DA12C6">
        <w:rPr>
          <w:color w:val="000000"/>
        </w:rPr>
        <w:t xml:space="preserve">на основании проекта закона Иркутской области «Об областном бюджете на </w:t>
      </w:r>
      <w:r>
        <w:rPr>
          <w:color w:val="000000"/>
        </w:rPr>
        <w:t>202</w:t>
      </w:r>
      <w:r w:rsidR="004B7319">
        <w:rPr>
          <w:color w:val="000000"/>
        </w:rPr>
        <w:t>2</w:t>
      </w:r>
      <w:r w:rsidRPr="00DA12C6">
        <w:rPr>
          <w:color w:val="000000"/>
        </w:rPr>
        <w:t xml:space="preserve"> год и плановый период </w:t>
      </w:r>
      <w:r>
        <w:rPr>
          <w:color w:val="000000"/>
        </w:rPr>
        <w:t>202</w:t>
      </w:r>
      <w:r w:rsidR="004B7319">
        <w:rPr>
          <w:color w:val="000000"/>
        </w:rPr>
        <w:t>3</w:t>
      </w:r>
      <w:r w:rsidRPr="00DA12C6">
        <w:rPr>
          <w:color w:val="000000"/>
        </w:rPr>
        <w:t xml:space="preserve"> и </w:t>
      </w:r>
      <w:r>
        <w:rPr>
          <w:color w:val="000000"/>
        </w:rPr>
        <w:t>202</w:t>
      </w:r>
      <w:r w:rsidR="004B7319">
        <w:rPr>
          <w:color w:val="000000"/>
        </w:rPr>
        <w:t>4</w:t>
      </w:r>
      <w:r w:rsidRPr="00DA12C6">
        <w:rPr>
          <w:color w:val="000000"/>
        </w:rPr>
        <w:t>годов».</w:t>
      </w:r>
    </w:p>
    <w:p w:rsidR="00497B84" w:rsidRDefault="004B7319" w:rsidP="004B7319">
      <w:pPr>
        <w:ind w:firstLine="708"/>
        <w:jc w:val="both"/>
      </w:pPr>
      <w:r w:rsidRPr="00295D19">
        <w:t xml:space="preserve">- </w:t>
      </w:r>
      <w:r w:rsidRPr="00295D19">
        <w:rPr>
          <w:b/>
        </w:rPr>
        <w:t>по подразделу 0409 «Дорожное хозяйство»</w:t>
      </w:r>
      <w:r w:rsidRPr="00295D19">
        <w:t xml:space="preserve"> в соответствии с п. </w:t>
      </w:r>
      <w:r>
        <w:t>5</w:t>
      </w:r>
      <w:r w:rsidRPr="00295D19">
        <w:t xml:space="preserve"> ст. 179.4 БК РФ на исполнение расходных обязательств за счет бюджетных ассигнований Дорожного фонда </w:t>
      </w:r>
      <w:proofErr w:type="spellStart"/>
      <w:r w:rsidR="007E530A">
        <w:t>Каразейского</w:t>
      </w:r>
      <w:proofErr w:type="spellEnd"/>
      <w:r w:rsidRPr="00295D19">
        <w:t xml:space="preserve"> МО предлагается направить в </w:t>
      </w:r>
      <w:r w:rsidR="007E530A">
        <w:t xml:space="preserve">2022 </w:t>
      </w:r>
      <w:r w:rsidRPr="00295D19">
        <w:t xml:space="preserve">году – </w:t>
      </w:r>
      <w:r w:rsidR="007E530A">
        <w:t>1167,4</w:t>
      </w:r>
      <w:r w:rsidRPr="00295D19">
        <w:t xml:space="preserve"> тыс. руб.</w:t>
      </w:r>
      <w:r w:rsidRPr="00EC3EBD">
        <w:rPr>
          <w:color w:val="FF0000"/>
        </w:rPr>
        <w:t xml:space="preserve"> </w:t>
      </w:r>
      <w:r w:rsidRPr="00295D19">
        <w:t>Согласно оценке ожидаемого исполнения бюджета, в 20</w:t>
      </w:r>
      <w:r>
        <w:t>2</w:t>
      </w:r>
      <w:r w:rsidR="007E530A">
        <w:t>1</w:t>
      </w:r>
      <w:r w:rsidRPr="00295D19">
        <w:t xml:space="preserve">г. на содержание автомобильных дорог местного значения будет направлено </w:t>
      </w:r>
      <w:r w:rsidR="007E530A">
        <w:t>3020</w:t>
      </w:r>
      <w:r w:rsidRPr="00295D19">
        <w:t xml:space="preserve"> тыс. руб.</w:t>
      </w:r>
      <w:r w:rsidR="007E530A">
        <w:t xml:space="preserve"> </w:t>
      </w:r>
    </w:p>
    <w:p w:rsidR="004B7319" w:rsidRDefault="007E530A" w:rsidP="004B7319">
      <w:pPr>
        <w:ind w:firstLine="708"/>
        <w:jc w:val="both"/>
      </w:pPr>
      <w:r>
        <w:t xml:space="preserve">На плановый период расходы по данному подразделу предлагается утвердить на 2023 год – 1223,7 тыс. руб., на 2024 год </w:t>
      </w:r>
      <w:r w:rsidR="00497B84">
        <w:t>–</w:t>
      </w:r>
      <w:r>
        <w:t xml:space="preserve"> </w:t>
      </w:r>
      <w:r w:rsidR="00497B84">
        <w:t>1321,6 тыс. руб.</w:t>
      </w:r>
    </w:p>
    <w:p w:rsidR="004B7319" w:rsidRPr="00295D19" w:rsidRDefault="004B7319" w:rsidP="004B7319">
      <w:pPr>
        <w:ind w:firstLine="708"/>
        <w:jc w:val="both"/>
      </w:pPr>
      <w:r w:rsidRPr="00295D19">
        <w:t xml:space="preserve">Расходы на дорожное хозяйство запланированы в размере плановых поступлений доходов от уплаты акцизов по подакцизным товарам.  </w:t>
      </w:r>
    </w:p>
    <w:p w:rsidR="00497B84" w:rsidRDefault="00D80372" w:rsidP="00D80372">
      <w:pPr>
        <w:autoSpaceDE w:val="0"/>
        <w:autoSpaceDN w:val="0"/>
        <w:adjustRightInd w:val="0"/>
        <w:ind w:firstLine="539"/>
        <w:jc w:val="both"/>
      </w:pPr>
      <w:r>
        <w:rPr>
          <w:b/>
        </w:rPr>
        <w:t>- п</w:t>
      </w:r>
      <w:r w:rsidRPr="00007FE7">
        <w:rPr>
          <w:b/>
        </w:rPr>
        <w:t>о подразделу 0412 «Другие вопросы в области национальной экономики»</w:t>
      </w:r>
      <w:r>
        <w:rPr>
          <w:b/>
        </w:rPr>
        <w:t xml:space="preserve"> </w:t>
      </w:r>
      <w:r w:rsidRPr="002D679D">
        <w:t>ожидаемое исполнение</w:t>
      </w:r>
      <w:r>
        <w:t xml:space="preserve"> </w:t>
      </w:r>
      <w:r w:rsidR="00497B84">
        <w:t xml:space="preserve">в 2021 году составит 100 тыс. руб., на 2022 год бюджетные ассигнования предусмотрены в сумме 60 тыс. руб. на выполнение кадастровых работ по оформлению </w:t>
      </w:r>
      <w:r w:rsidR="00761740">
        <w:t>в собственность земельных участков. На 20</w:t>
      </w:r>
      <w:r w:rsidR="007F6937">
        <w:t>23-2024гг. расходы предусмотрены в сумме 30 тыс. руб. и 100 тыс. руб. соответственно.</w:t>
      </w:r>
    </w:p>
    <w:p w:rsidR="00615CB4" w:rsidRDefault="00615CB4" w:rsidP="00D80372">
      <w:pPr>
        <w:autoSpaceDE w:val="0"/>
        <w:autoSpaceDN w:val="0"/>
        <w:adjustRightInd w:val="0"/>
        <w:ind w:firstLine="539"/>
        <w:jc w:val="both"/>
      </w:pPr>
    </w:p>
    <w:p w:rsidR="00615CB4" w:rsidRPr="00615CB4" w:rsidRDefault="00615CB4" w:rsidP="00615CB4">
      <w:pPr>
        <w:ind w:firstLine="708"/>
        <w:jc w:val="center"/>
        <w:rPr>
          <w:b/>
          <w:u w:val="single"/>
        </w:rPr>
      </w:pPr>
      <w:r w:rsidRPr="00615CB4">
        <w:rPr>
          <w:b/>
          <w:u w:val="single"/>
        </w:rPr>
        <w:t>Раздел 05 «Жилищно-коммунальное хозяйство»</w:t>
      </w:r>
    </w:p>
    <w:p w:rsidR="00615CB4" w:rsidRDefault="00615CB4" w:rsidP="00615CB4">
      <w:pPr>
        <w:autoSpaceDE w:val="0"/>
        <w:autoSpaceDN w:val="0"/>
        <w:adjustRightInd w:val="0"/>
        <w:ind w:firstLine="539"/>
        <w:jc w:val="both"/>
      </w:pPr>
      <w:r w:rsidRPr="0005171F">
        <w:t xml:space="preserve">Расходы по данному подразделу планируются на осуществление мероприятий в области коммунального хозяйства и благоустройства. </w:t>
      </w:r>
      <w:r w:rsidRPr="00E92C7E">
        <w:t xml:space="preserve">Ожидаемое исполнение за </w:t>
      </w:r>
      <w:r>
        <w:t>2021</w:t>
      </w:r>
      <w:r w:rsidRPr="00E92C7E">
        <w:t xml:space="preserve"> год </w:t>
      </w:r>
      <w:r>
        <w:t>по разделу</w:t>
      </w:r>
      <w:r w:rsidRPr="009A6C8B">
        <w:t xml:space="preserve"> 05</w:t>
      </w:r>
      <w:r>
        <w:t xml:space="preserve"> </w:t>
      </w:r>
      <w:r w:rsidRPr="00E92C7E">
        <w:t xml:space="preserve">составит </w:t>
      </w:r>
      <w:r>
        <w:t xml:space="preserve">3474,45 </w:t>
      </w:r>
      <w:r w:rsidRPr="00E92C7E">
        <w:t>тыс. рублей</w:t>
      </w:r>
      <w:r w:rsidRPr="00E92C7E">
        <w:rPr>
          <w:bCs/>
        </w:rPr>
        <w:t>,</w:t>
      </w:r>
      <w:r w:rsidRPr="00E92C7E">
        <w:rPr>
          <w:b/>
          <w:bCs/>
        </w:rPr>
        <w:t xml:space="preserve"> </w:t>
      </w:r>
      <w:r w:rsidRPr="004F30F5">
        <w:rPr>
          <w:bCs/>
        </w:rPr>
        <w:t xml:space="preserve">и </w:t>
      </w:r>
      <w:r>
        <w:t xml:space="preserve">составит 10 </w:t>
      </w:r>
      <w:r w:rsidRPr="00E92C7E">
        <w:t xml:space="preserve">% от общей суммы расходов бюджета. Расходы на </w:t>
      </w:r>
      <w:r>
        <w:t>2022</w:t>
      </w:r>
      <w:r w:rsidRPr="00E92C7E">
        <w:t xml:space="preserve"> год</w:t>
      </w:r>
      <w:r>
        <w:t xml:space="preserve"> </w:t>
      </w:r>
      <w:r w:rsidRPr="00E92C7E">
        <w:t>по данному разделу планируется утвердить</w:t>
      </w:r>
      <w:r w:rsidRPr="00E92C7E">
        <w:rPr>
          <w:b/>
        </w:rPr>
        <w:t xml:space="preserve"> </w:t>
      </w:r>
      <w:r w:rsidRPr="00E92C7E">
        <w:t xml:space="preserve">в сумме </w:t>
      </w:r>
      <w:r>
        <w:t>1500,4</w:t>
      </w:r>
      <w:r w:rsidRPr="00E92C7E">
        <w:t xml:space="preserve"> тыс. рублей, что составит </w:t>
      </w:r>
      <w:r>
        <w:t xml:space="preserve">43,2 </w:t>
      </w:r>
      <w:r w:rsidRPr="00E92C7E">
        <w:t xml:space="preserve">% к уровню </w:t>
      </w:r>
      <w:r>
        <w:t>2021 года, на 2023г. – 564,9 тыс. руб., на 2024г. – 2627,9 тыс. руб.</w:t>
      </w:r>
    </w:p>
    <w:p w:rsidR="00E50320" w:rsidRDefault="00754873" w:rsidP="00754873">
      <w:pPr>
        <w:autoSpaceDE w:val="0"/>
        <w:autoSpaceDN w:val="0"/>
        <w:adjustRightInd w:val="0"/>
        <w:ind w:firstLine="539"/>
        <w:jc w:val="both"/>
      </w:pPr>
      <w:r w:rsidRPr="00DD2B09">
        <w:rPr>
          <w:b/>
        </w:rPr>
        <w:t>По подразделу 0502 «Коммунальное хозяйство»</w:t>
      </w:r>
      <w:r>
        <w:t xml:space="preserve"> бюджетные ассигнования на 2022 год предусмотрены в объеме </w:t>
      </w:r>
      <w:r w:rsidRPr="00754873">
        <w:t>503,7 тыс. руб.</w:t>
      </w:r>
      <w:r>
        <w:t>, или 20,6% к оценке 2021 года (</w:t>
      </w:r>
      <w:r w:rsidR="00C71E2B">
        <w:t>2451 тыс. руб.).</w:t>
      </w:r>
      <w:r w:rsidR="00E50320">
        <w:t xml:space="preserve"> Согласно пояснительной записки к проекту бюджета расходы предусмотрены на оплату за электроэнергию водонапорных башен, ремонт теплосети. На 2023 год расходы предусмотрены в сумме 37 тыс. руб., на 2024 год – 700 тыс. руб.</w:t>
      </w:r>
    </w:p>
    <w:p w:rsidR="00B92F6E" w:rsidRDefault="00FB471D" w:rsidP="005759C5">
      <w:pPr>
        <w:autoSpaceDE w:val="0"/>
        <w:autoSpaceDN w:val="0"/>
        <w:adjustRightInd w:val="0"/>
        <w:ind w:firstLine="539"/>
        <w:jc w:val="both"/>
      </w:pPr>
      <w:r w:rsidRPr="00F2781C">
        <w:t>По подразделу</w:t>
      </w:r>
      <w:r w:rsidRPr="00C71BC0">
        <w:rPr>
          <w:b/>
        </w:rPr>
        <w:t xml:space="preserve"> 0503</w:t>
      </w:r>
      <w:r w:rsidRPr="00C71BC0">
        <w:t xml:space="preserve"> «</w:t>
      </w:r>
      <w:r w:rsidRPr="00C71BC0">
        <w:rPr>
          <w:b/>
        </w:rPr>
        <w:t xml:space="preserve">Благоустройство» </w:t>
      </w:r>
      <w:r w:rsidRPr="00BE1621">
        <w:t>ожидаемое исполнение</w:t>
      </w:r>
      <w:r>
        <w:t xml:space="preserve"> в 2021 году составит 1023,4 тыс. руб.</w:t>
      </w:r>
      <w:r w:rsidR="00880839">
        <w:t xml:space="preserve"> На 2022 год проектом бюджета расходы предусмотрены в сумме 996,7 тыс.</w:t>
      </w:r>
      <w:r w:rsidR="00B92F6E">
        <w:t xml:space="preserve">, </w:t>
      </w:r>
      <w:r w:rsidR="00880839">
        <w:t>руб.</w:t>
      </w:r>
      <w:r w:rsidR="007D1471">
        <w:t>,</w:t>
      </w:r>
      <w:r w:rsidR="00B92F6E">
        <w:t xml:space="preserve"> или 97,4% к оценке 2021 года. По данному подразделу запланированы расходы на оплату уличного освещения, аренду опор, приобретение прожекторов уличного освещения. </w:t>
      </w:r>
      <w:r w:rsidR="0008119B">
        <w:t>В</w:t>
      </w:r>
      <w:r w:rsidR="00B92F6E">
        <w:t xml:space="preserve"> составе данных расходов предусмотрены расходы на реализацию </w:t>
      </w:r>
      <w:r w:rsidR="0008119B">
        <w:t>мероприятий по формированию современной городской среды в объеме 368,8 тыс. руб. Средства должны быть направлены на огораживание парковки на общественной территории, строительство пешеходных мостиков. Также предусмотрены расходы на реализацию мероприятий перечня проектов народных инициатив в сумме 179,9 тыс. руб.</w:t>
      </w:r>
    </w:p>
    <w:p w:rsidR="00AE080E" w:rsidRDefault="00356CF9" w:rsidP="00356CF9">
      <w:pPr>
        <w:autoSpaceDE w:val="0"/>
        <w:autoSpaceDN w:val="0"/>
        <w:adjustRightInd w:val="0"/>
        <w:ind w:firstLine="539"/>
        <w:jc w:val="both"/>
      </w:pPr>
      <w:r>
        <w:lastRenderedPageBreak/>
        <w:t>На плановый период 2023 и 2024 годов бюджетные ассигнования предусмотрены</w:t>
      </w:r>
      <w:r w:rsidR="00AE080E">
        <w:t xml:space="preserve"> в сумме 527,9 тыс. руб. и 1927,9 тыс. руб. соответственно.</w:t>
      </w:r>
    </w:p>
    <w:p w:rsidR="00B92F6E" w:rsidRDefault="00B92F6E" w:rsidP="005759C5">
      <w:pPr>
        <w:autoSpaceDE w:val="0"/>
        <w:autoSpaceDN w:val="0"/>
        <w:adjustRightInd w:val="0"/>
        <w:ind w:firstLine="539"/>
        <w:jc w:val="both"/>
      </w:pPr>
    </w:p>
    <w:p w:rsidR="00D80372" w:rsidRDefault="00D80372" w:rsidP="00D80372">
      <w:pPr>
        <w:pStyle w:val="a9"/>
        <w:spacing w:after="0"/>
        <w:ind w:firstLine="539"/>
        <w:jc w:val="center"/>
        <w:rPr>
          <w:b/>
          <w:u w:val="single"/>
        </w:rPr>
      </w:pPr>
      <w:r>
        <w:rPr>
          <w:b/>
          <w:u w:val="single"/>
        </w:rPr>
        <w:t>Раздел 07 «Образование»</w:t>
      </w:r>
    </w:p>
    <w:p w:rsidR="00D80372" w:rsidRPr="00484943" w:rsidRDefault="00D80372" w:rsidP="00D80372">
      <w:pPr>
        <w:ind w:firstLine="567"/>
        <w:jc w:val="both"/>
      </w:pPr>
      <w:r w:rsidRPr="0006471A">
        <w:t>В данном разделе предусмотрены ассигнования по подразделу 0</w:t>
      </w:r>
      <w:r>
        <w:t xml:space="preserve">705 </w:t>
      </w:r>
      <w:r w:rsidRPr="00484943">
        <w:t>"Профессиональная подготовка, переподготовка и повышение квалификации"</w:t>
      </w:r>
      <w:r>
        <w:t>.</w:t>
      </w:r>
    </w:p>
    <w:p w:rsidR="00D80372" w:rsidRDefault="00D80372" w:rsidP="00D80372">
      <w:pPr>
        <w:autoSpaceDE w:val="0"/>
        <w:autoSpaceDN w:val="0"/>
        <w:adjustRightInd w:val="0"/>
        <w:ind w:firstLine="539"/>
        <w:jc w:val="both"/>
      </w:pPr>
      <w:r>
        <w:t>О</w:t>
      </w:r>
      <w:r w:rsidRPr="002D679D">
        <w:t>жидаемое исполнение</w:t>
      </w:r>
      <w:r>
        <w:t xml:space="preserve"> в 2020 году составит 34 тыс. руб., на 202</w:t>
      </w:r>
      <w:r w:rsidR="000D490E">
        <w:t>2</w:t>
      </w:r>
      <w:r>
        <w:t xml:space="preserve"> год и плановый период 202</w:t>
      </w:r>
      <w:r w:rsidR="000D490E">
        <w:t>3</w:t>
      </w:r>
      <w:r>
        <w:t>-202</w:t>
      </w:r>
      <w:r w:rsidR="000D490E">
        <w:t>4</w:t>
      </w:r>
      <w:r>
        <w:t>гг. бюджетные ассигнования предусмотрены также в сумме по 34 тыс. руб. ежегодно на повышение квалификации муниципальных служащих и работников культуры.</w:t>
      </w:r>
    </w:p>
    <w:p w:rsidR="006A1B1E" w:rsidRDefault="006A1B1E" w:rsidP="00D80372">
      <w:pPr>
        <w:autoSpaceDE w:val="0"/>
        <w:autoSpaceDN w:val="0"/>
        <w:adjustRightInd w:val="0"/>
        <w:ind w:firstLine="539"/>
        <w:jc w:val="both"/>
      </w:pPr>
    </w:p>
    <w:p w:rsidR="006A1B1E" w:rsidRPr="00696841" w:rsidRDefault="006A1B1E" w:rsidP="006A1B1E">
      <w:pPr>
        <w:pStyle w:val="a9"/>
        <w:spacing w:after="0"/>
        <w:ind w:firstLine="539"/>
        <w:jc w:val="center"/>
        <w:rPr>
          <w:b/>
          <w:u w:val="single"/>
        </w:rPr>
      </w:pPr>
      <w:r w:rsidRPr="00696841">
        <w:rPr>
          <w:b/>
          <w:u w:val="single"/>
        </w:rPr>
        <w:t>Раздел 08 «Культура и кинематография»</w:t>
      </w:r>
    </w:p>
    <w:p w:rsidR="006A1B1E" w:rsidRPr="00A441D3" w:rsidRDefault="006A1B1E" w:rsidP="006A1B1E">
      <w:pPr>
        <w:autoSpaceDE w:val="0"/>
        <w:autoSpaceDN w:val="0"/>
        <w:adjustRightInd w:val="0"/>
        <w:ind w:firstLine="539"/>
        <w:jc w:val="both"/>
        <w:rPr>
          <w:bCs/>
          <w:color w:val="FF0000"/>
        </w:rPr>
      </w:pPr>
      <w:r w:rsidRPr="00696841">
        <w:t xml:space="preserve">Расходы предусмотрены по подразделу </w:t>
      </w:r>
      <w:r w:rsidRPr="00696841">
        <w:rPr>
          <w:b/>
        </w:rPr>
        <w:t>0801 «Культура»</w:t>
      </w:r>
      <w:r w:rsidRPr="00696841">
        <w:t xml:space="preserve"> в сумме </w:t>
      </w:r>
      <w:r>
        <w:t>4076,6</w:t>
      </w:r>
      <w:r w:rsidRPr="00696841">
        <w:t xml:space="preserve"> тыс. рублей на </w:t>
      </w:r>
      <w:r>
        <w:t>2022</w:t>
      </w:r>
      <w:r w:rsidRPr="00696841">
        <w:t xml:space="preserve"> год, </w:t>
      </w:r>
      <w:r>
        <w:t>что составит</w:t>
      </w:r>
      <w:r w:rsidRPr="00696841">
        <w:t xml:space="preserve"> </w:t>
      </w:r>
      <w:r>
        <w:t>32,7</w:t>
      </w:r>
      <w:r w:rsidRPr="00696841">
        <w:t>% от всех расходов бюджета. Проектом бюджета предл</w:t>
      </w:r>
      <w:r>
        <w:t>агается утвердить расходы в 2022</w:t>
      </w:r>
      <w:r w:rsidRPr="00696841">
        <w:t xml:space="preserve"> году</w:t>
      </w:r>
      <w:r>
        <w:t xml:space="preserve"> ниже ожидаемого исполнения 2021 </w:t>
      </w:r>
      <w:r w:rsidRPr="00696841">
        <w:t>года на</w:t>
      </w:r>
      <w:r>
        <w:t xml:space="preserve"> 17409,9 </w:t>
      </w:r>
      <w:r w:rsidRPr="00696841">
        <w:t xml:space="preserve">тыс. рублей, или на </w:t>
      </w:r>
      <w:r>
        <w:t>81</w:t>
      </w:r>
      <w:r w:rsidRPr="00696841">
        <w:t>%.</w:t>
      </w:r>
      <w:r w:rsidRPr="00A441D3">
        <w:rPr>
          <w:color w:val="FF0000"/>
        </w:rPr>
        <w:t xml:space="preserve"> </w:t>
      </w:r>
      <w:r w:rsidR="00E37902" w:rsidRPr="00956FB4">
        <w:t xml:space="preserve">Снижение объема </w:t>
      </w:r>
      <w:r w:rsidR="00E37902">
        <w:t xml:space="preserve">планируемых </w:t>
      </w:r>
      <w:r w:rsidR="00E37902" w:rsidRPr="00956FB4">
        <w:t>бюджетных ассигнований по подразделу к ожидаемой оценк</w:t>
      </w:r>
      <w:r w:rsidR="00E37902">
        <w:t>е 2021</w:t>
      </w:r>
      <w:r w:rsidR="00E37902" w:rsidRPr="00956FB4">
        <w:t xml:space="preserve"> года </w:t>
      </w:r>
      <w:r w:rsidR="00E37902">
        <w:t>пояснительной запиской не поясняется.</w:t>
      </w:r>
    </w:p>
    <w:p w:rsidR="00A641A0" w:rsidRDefault="006A1B1E" w:rsidP="006A1B1E">
      <w:pPr>
        <w:pStyle w:val="a9"/>
        <w:spacing w:after="0"/>
        <w:ind w:firstLine="539"/>
        <w:jc w:val="both"/>
      </w:pPr>
      <w:r w:rsidRPr="00654617">
        <w:t xml:space="preserve">Из общих расходов на культуру в </w:t>
      </w:r>
      <w:r>
        <w:t>2022</w:t>
      </w:r>
      <w:r w:rsidRPr="00654617">
        <w:t xml:space="preserve"> году планируется направить на выплату заработной платы с учетом страховых взносов </w:t>
      </w:r>
      <w:r>
        <w:t>72,1</w:t>
      </w:r>
      <w:r w:rsidRPr="00654617">
        <w:t xml:space="preserve">%, или </w:t>
      </w:r>
      <w:r>
        <w:t>2940,1 тыс. руб</w:t>
      </w:r>
      <w:r w:rsidR="00A446BD">
        <w:t>.</w:t>
      </w:r>
      <w:r>
        <w:t xml:space="preserve">, </w:t>
      </w:r>
      <w:r w:rsidR="00A446BD">
        <w:t>15,5% или 633 тыс. руб. на оплату коммунальных услуг, 12,4% или 503,5 тыс. руб. на оплату других расходов.</w:t>
      </w:r>
      <w:r>
        <w:t xml:space="preserve"> Согласно пояснительной записки к проекту бюджета на выплату зарплаты и начислений на оплату труда расходы запланированы на </w:t>
      </w:r>
      <w:r w:rsidR="00A641A0">
        <w:t>8</w:t>
      </w:r>
      <w:r>
        <w:t xml:space="preserve"> месяцев</w:t>
      </w:r>
      <w:r w:rsidR="00E37902">
        <w:t>, средняя заработная плата работников культуры в 2022 году ра</w:t>
      </w:r>
      <w:r w:rsidR="00B4213F">
        <w:t xml:space="preserve">ссчитана с учетом «дорожной карты» и должна составить 40752,9 рублей в месяц. На коммунальные услуги расходы запланированы на 12 месяцев </w:t>
      </w:r>
      <w:r w:rsidR="00EF6D0F">
        <w:t>–</w:t>
      </w:r>
      <w:r w:rsidR="00B4213F">
        <w:t xml:space="preserve"> </w:t>
      </w:r>
      <w:r w:rsidR="00EF6D0F">
        <w:t>633 тыс. руб.</w:t>
      </w:r>
    </w:p>
    <w:p w:rsidR="00EF6D0F" w:rsidRDefault="00EF6D0F" w:rsidP="00EF6D0F">
      <w:pPr>
        <w:autoSpaceDE w:val="0"/>
        <w:autoSpaceDN w:val="0"/>
        <w:adjustRightInd w:val="0"/>
        <w:ind w:firstLine="539"/>
        <w:jc w:val="both"/>
      </w:pPr>
      <w:r w:rsidRPr="009737F9">
        <w:t xml:space="preserve">На </w:t>
      </w:r>
      <w:r>
        <w:t>2023</w:t>
      </w:r>
      <w:r w:rsidRPr="009737F9">
        <w:t xml:space="preserve"> год </w:t>
      </w:r>
      <w:r>
        <w:t>запланированы</w:t>
      </w:r>
      <w:r w:rsidRPr="009737F9">
        <w:t xml:space="preserve"> расходы на культуру в сумме </w:t>
      </w:r>
      <w:r>
        <w:t xml:space="preserve">3470,3 </w:t>
      </w:r>
      <w:r w:rsidRPr="009737F9">
        <w:t xml:space="preserve">тыс. руб., на </w:t>
      </w:r>
      <w:r>
        <w:t xml:space="preserve">2024 </w:t>
      </w:r>
      <w:r w:rsidRPr="009737F9">
        <w:t>год предлагаются к ут</w:t>
      </w:r>
      <w:r>
        <w:t xml:space="preserve">верждению расходы в сумме 3610,5 тыс. руб., с понижением на 10% к 2022 </w:t>
      </w:r>
      <w:r w:rsidRPr="009737F9">
        <w:t>году.</w:t>
      </w:r>
    </w:p>
    <w:p w:rsidR="00D80372" w:rsidRDefault="00D80372" w:rsidP="00D80372">
      <w:pPr>
        <w:pStyle w:val="a9"/>
        <w:spacing w:after="0"/>
        <w:ind w:firstLine="708"/>
        <w:jc w:val="center"/>
        <w:rPr>
          <w:b/>
          <w:u w:val="single"/>
        </w:rPr>
      </w:pPr>
      <w:r w:rsidRPr="007B75BD">
        <w:rPr>
          <w:b/>
          <w:u w:val="single"/>
        </w:rPr>
        <w:t>Раздел 1</w:t>
      </w:r>
      <w:r>
        <w:rPr>
          <w:b/>
          <w:u w:val="single"/>
        </w:rPr>
        <w:t>0</w:t>
      </w:r>
      <w:r w:rsidRPr="007B75BD">
        <w:rPr>
          <w:b/>
          <w:u w:val="single"/>
        </w:rPr>
        <w:t xml:space="preserve"> «</w:t>
      </w:r>
      <w:r>
        <w:rPr>
          <w:b/>
          <w:u w:val="single"/>
        </w:rPr>
        <w:t>Социальная политика</w:t>
      </w:r>
      <w:r w:rsidRPr="007B75BD">
        <w:rPr>
          <w:b/>
          <w:u w:val="single"/>
        </w:rPr>
        <w:t>»</w:t>
      </w:r>
    </w:p>
    <w:p w:rsidR="00D80372" w:rsidRPr="00661869" w:rsidRDefault="00D80372" w:rsidP="00D80372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r w:rsidRPr="00661869">
        <w:rPr>
          <w:bCs/>
        </w:rPr>
        <w:t xml:space="preserve">В данном разделе отражены расходы по подразделу 1001 «Пенсионное обеспечение» </w:t>
      </w:r>
      <w:r w:rsidRPr="00661869">
        <w:t>для выплаты пенсий за выслугу лет гражданам, замещавшим должности муниципальной службы</w:t>
      </w:r>
      <w:r>
        <w:t xml:space="preserve">, которых в </w:t>
      </w:r>
      <w:proofErr w:type="spellStart"/>
      <w:r>
        <w:t>Каразейском</w:t>
      </w:r>
      <w:proofErr w:type="spellEnd"/>
      <w:r>
        <w:t xml:space="preserve"> сельском поселении два человека.</w:t>
      </w:r>
    </w:p>
    <w:p w:rsidR="004E0678" w:rsidRDefault="00D80372" w:rsidP="00C5251E">
      <w:pPr>
        <w:autoSpaceDE w:val="0"/>
        <w:autoSpaceDN w:val="0"/>
        <w:adjustRightInd w:val="0"/>
        <w:ind w:left="-170" w:firstLine="737"/>
        <w:jc w:val="both"/>
        <w:rPr>
          <w:bCs/>
        </w:rPr>
      </w:pPr>
      <w:r w:rsidRPr="006701D9">
        <w:rPr>
          <w:b/>
          <w:bCs/>
        </w:rPr>
        <w:t xml:space="preserve">По подразделу 1001 «Пенсионное обеспечение» </w:t>
      </w:r>
      <w:r w:rsidR="004E0678" w:rsidRPr="00BA43C9">
        <w:rPr>
          <w:bCs/>
        </w:rPr>
        <w:t xml:space="preserve">предусмотрены бюджетные ассигнования на </w:t>
      </w:r>
      <w:r w:rsidR="004E0678">
        <w:rPr>
          <w:bCs/>
        </w:rPr>
        <w:t>2022</w:t>
      </w:r>
      <w:r w:rsidR="004E0678" w:rsidRPr="00BA43C9">
        <w:rPr>
          <w:bCs/>
        </w:rPr>
        <w:t xml:space="preserve"> год в объеме</w:t>
      </w:r>
      <w:r w:rsidR="004E0678">
        <w:rPr>
          <w:bCs/>
        </w:rPr>
        <w:t xml:space="preserve"> 293,8 т</w:t>
      </w:r>
      <w:r w:rsidR="004E0678" w:rsidRPr="00BA43C9">
        <w:rPr>
          <w:bCs/>
        </w:rPr>
        <w:t xml:space="preserve">ыс. рублей для выплаты пенсий за выслугу лет гражданам, замещавшим должности муниципальной службы. </w:t>
      </w:r>
      <w:r w:rsidR="004E0678">
        <w:rPr>
          <w:bCs/>
        </w:rPr>
        <w:t xml:space="preserve">Расходы заложены не в полном объеме. Так, </w:t>
      </w:r>
      <w:r w:rsidR="004E0678" w:rsidRPr="00D429D7">
        <w:rPr>
          <w:bCs/>
        </w:rPr>
        <w:t>исходя из количества пенсионеров, получающих доплату (</w:t>
      </w:r>
      <w:r w:rsidR="004E0678">
        <w:rPr>
          <w:bCs/>
        </w:rPr>
        <w:t>2 человека</w:t>
      </w:r>
      <w:r w:rsidR="004E0678" w:rsidRPr="00D429D7">
        <w:rPr>
          <w:bCs/>
        </w:rPr>
        <w:t xml:space="preserve">) и размера денежной выплаты в сумме </w:t>
      </w:r>
      <w:r w:rsidR="004E0678">
        <w:rPr>
          <w:bCs/>
        </w:rPr>
        <w:t>12667</w:t>
      </w:r>
      <w:r w:rsidR="004E0678" w:rsidRPr="00D429D7">
        <w:rPr>
          <w:bCs/>
        </w:rPr>
        <w:t xml:space="preserve"> руб.</w:t>
      </w:r>
      <w:r w:rsidR="004E0678">
        <w:rPr>
          <w:bCs/>
        </w:rPr>
        <w:t xml:space="preserve"> - это</w:t>
      </w:r>
      <w:r w:rsidR="004E0678" w:rsidRPr="00D429D7">
        <w:rPr>
          <w:bCs/>
        </w:rPr>
        <w:t xml:space="preserve"> </w:t>
      </w:r>
      <w:r w:rsidR="004E0678" w:rsidRPr="001C27C3">
        <w:rPr>
          <w:bCs/>
        </w:rPr>
        <w:t>величина прожиточного минимума</w:t>
      </w:r>
      <w:r w:rsidR="004E0678">
        <w:rPr>
          <w:bCs/>
        </w:rPr>
        <w:t>,</w:t>
      </w:r>
      <w:r w:rsidR="004E0678" w:rsidRPr="001C27C3">
        <w:rPr>
          <w:bCs/>
        </w:rPr>
        <w:t xml:space="preserve"> установлен</w:t>
      </w:r>
      <w:r w:rsidR="004E0678">
        <w:rPr>
          <w:bCs/>
        </w:rPr>
        <w:t>н</w:t>
      </w:r>
      <w:r w:rsidR="004E0678" w:rsidRPr="001C27C3">
        <w:rPr>
          <w:bCs/>
        </w:rPr>
        <w:t>а</w:t>
      </w:r>
      <w:r w:rsidR="004E0678">
        <w:rPr>
          <w:bCs/>
        </w:rPr>
        <w:t>я</w:t>
      </w:r>
      <w:r w:rsidR="004E0678" w:rsidRPr="001C27C3">
        <w:rPr>
          <w:bCs/>
        </w:rPr>
        <w:t xml:space="preserve"> Постановлением Правительства Иркутской области от </w:t>
      </w:r>
      <w:r w:rsidR="004E0678">
        <w:rPr>
          <w:bCs/>
        </w:rPr>
        <w:t xml:space="preserve">3 сентября 2021 </w:t>
      </w:r>
      <w:proofErr w:type="gramStart"/>
      <w:r w:rsidR="004E0678">
        <w:rPr>
          <w:bCs/>
        </w:rPr>
        <w:t xml:space="preserve">года  </w:t>
      </w:r>
      <w:r w:rsidR="004E0678" w:rsidRPr="001C27C3">
        <w:rPr>
          <w:bCs/>
        </w:rPr>
        <w:t>N</w:t>
      </w:r>
      <w:proofErr w:type="gramEnd"/>
      <w:r w:rsidR="004E0678" w:rsidRPr="001C27C3">
        <w:rPr>
          <w:bCs/>
        </w:rPr>
        <w:t xml:space="preserve"> </w:t>
      </w:r>
      <w:r w:rsidR="004E0678">
        <w:rPr>
          <w:bCs/>
        </w:rPr>
        <w:t>629</w:t>
      </w:r>
      <w:r w:rsidR="004E0678" w:rsidRPr="001C27C3">
        <w:rPr>
          <w:bCs/>
        </w:rPr>
        <w:t xml:space="preserve">-пп «Об установлении величины прожиточного минимума </w:t>
      </w:r>
      <w:r w:rsidR="004E0678">
        <w:rPr>
          <w:bCs/>
        </w:rPr>
        <w:t xml:space="preserve">в Иркутской области на 2022 год», объем расходов </w:t>
      </w:r>
      <w:r w:rsidR="00070D5A">
        <w:rPr>
          <w:bCs/>
        </w:rPr>
        <w:t>на пенсионное обеспечение должен составить 304 тыс. руб.</w:t>
      </w:r>
    </w:p>
    <w:p w:rsidR="00070D5A" w:rsidRPr="00070D5A" w:rsidRDefault="00070D5A" w:rsidP="004E0678">
      <w:pPr>
        <w:autoSpaceDE w:val="0"/>
        <w:autoSpaceDN w:val="0"/>
        <w:adjustRightInd w:val="0"/>
        <w:ind w:left="-170" w:firstLine="540"/>
        <w:jc w:val="both"/>
        <w:rPr>
          <w:bCs/>
        </w:rPr>
      </w:pPr>
      <w:r w:rsidRPr="00070D5A">
        <w:rPr>
          <w:bCs/>
        </w:rPr>
        <w:t xml:space="preserve">На </w:t>
      </w:r>
      <w:r>
        <w:rPr>
          <w:bCs/>
        </w:rPr>
        <w:t>2023 год бюджетные ассигнования предусмотрены в сумме 195,9 тыс. руб., на 2024 год – 293,8 тыс. руб.</w:t>
      </w:r>
    </w:p>
    <w:p w:rsidR="00070D5A" w:rsidRDefault="00070D5A" w:rsidP="004E0678">
      <w:pPr>
        <w:autoSpaceDE w:val="0"/>
        <w:autoSpaceDN w:val="0"/>
        <w:adjustRightInd w:val="0"/>
        <w:ind w:left="-170" w:firstLine="540"/>
        <w:jc w:val="both"/>
        <w:rPr>
          <w:bCs/>
        </w:rPr>
      </w:pPr>
      <w:r w:rsidRPr="006701D9">
        <w:t>Удельный вес расходов на пенсионное обеспечение в общем объеме расходов бюджета</w:t>
      </w:r>
      <w:r>
        <w:t xml:space="preserve"> в 2022 году составит 2,4%, в 2023 году – 2,1%, в 2024 году </w:t>
      </w:r>
      <w:r w:rsidR="00C5251E">
        <w:t>–</w:t>
      </w:r>
      <w:r>
        <w:t xml:space="preserve"> </w:t>
      </w:r>
      <w:r w:rsidR="00C5251E">
        <w:t>1,9%.</w:t>
      </w:r>
    </w:p>
    <w:p w:rsidR="00D80372" w:rsidRPr="0006002F" w:rsidRDefault="00D80372" w:rsidP="00C5251E">
      <w:pPr>
        <w:tabs>
          <w:tab w:val="left" w:pos="3135"/>
        </w:tabs>
        <w:autoSpaceDE w:val="0"/>
        <w:autoSpaceDN w:val="0"/>
        <w:adjustRightInd w:val="0"/>
        <w:jc w:val="both"/>
      </w:pPr>
      <w:r>
        <w:tab/>
      </w:r>
    </w:p>
    <w:p w:rsidR="00D80372" w:rsidRDefault="00D80372" w:rsidP="00D80372">
      <w:pPr>
        <w:pStyle w:val="a9"/>
        <w:spacing w:after="0"/>
        <w:ind w:firstLine="708"/>
        <w:jc w:val="center"/>
        <w:rPr>
          <w:b/>
          <w:u w:val="single"/>
        </w:rPr>
      </w:pPr>
      <w:r>
        <w:t xml:space="preserve"> </w:t>
      </w:r>
      <w:r w:rsidRPr="00802CFF">
        <w:rPr>
          <w:b/>
          <w:u w:val="single"/>
        </w:rPr>
        <w:t>Раздел 1</w:t>
      </w:r>
      <w:r>
        <w:rPr>
          <w:b/>
          <w:u w:val="single"/>
        </w:rPr>
        <w:t>1</w:t>
      </w:r>
      <w:r w:rsidRPr="00802CFF">
        <w:rPr>
          <w:b/>
          <w:u w:val="single"/>
        </w:rPr>
        <w:t xml:space="preserve"> «</w:t>
      </w:r>
      <w:r>
        <w:rPr>
          <w:b/>
          <w:u w:val="single"/>
        </w:rPr>
        <w:t>Физическая культура и спорт</w:t>
      </w:r>
      <w:r w:rsidRPr="007B75BD">
        <w:rPr>
          <w:b/>
          <w:u w:val="single"/>
        </w:rPr>
        <w:t>»</w:t>
      </w:r>
    </w:p>
    <w:p w:rsidR="00B025D0" w:rsidRDefault="00C5251E" w:rsidP="00C5251E">
      <w:pPr>
        <w:autoSpaceDE w:val="0"/>
        <w:autoSpaceDN w:val="0"/>
        <w:adjustRightInd w:val="0"/>
        <w:ind w:left="-170" w:firstLine="737"/>
        <w:jc w:val="both"/>
      </w:pPr>
      <w:r w:rsidRPr="00283A1C">
        <w:rPr>
          <w:b/>
          <w:bCs/>
        </w:rPr>
        <w:t>По подразделу 1</w:t>
      </w:r>
      <w:r>
        <w:rPr>
          <w:b/>
          <w:bCs/>
        </w:rPr>
        <w:t>1</w:t>
      </w:r>
      <w:r w:rsidRPr="00283A1C">
        <w:rPr>
          <w:b/>
          <w:bCs/>
        </w:rPr>
        <w:t>0</w:t>
      </w:r>
      <w:r>
        <w:rPr>
          <w:b/>
          <w:bCs/>
        </w:rPr>
        <w:t>0</w:t>
      </w:r>
      <w:r w:rsidRPr="00283A1C">
        <w:rPr>
          <w:b/>
          <w:bCs/>
        </w:rPr>
        <w:t xml:space="preserve"> </w:t>
      </w:r>
      <w:r w:rsidRPr="00283A1C">
        <w:t>предусмотрены бюджетные ассигнования</w:t>
      </w:r>
      <w:r>
        <w:t xml:space="preserve"> на 2022</w:t>
      </w:r>
      <w:r w:rsidRPr="00283A1C">
        <w:t xml:space="preserve"> год</w:t>
      </w:r>
      <w:r>
        <w:t xml:space="preserve"> в сумме </w:t>
      </w:r>
      <w:r w:rsidR="00B025D0">
        <w:t xml:space="preserve">155 </w:t>
      </w:r>
      <w:r>
        <w:t>тыс.</w:t>
      </w:r>
      <w:r w:rsidR="00B025D0">
        <w:t xml:space="preserve"> </w:t>
      </w:r>
      <w:r>
        <w:t>руб.,</w:t>
      </w:r>
      <w:r w:rsidR="00B025D0">
        <w:t xml:space="preserve"> на плановый период 2023-2024</w:t>
      </w:r>
      <w:r w:rsidR="006A0488">
        <w:t xml:space="preserve"> гг. по 55 тыс. руб. ежегодно на приобретение и установку уличных спортивных тренажеров.</w:t>
      </w:r>
    </w:p>
    <w:p w:rsidR="00D80372" w:rsidRDefault="00D80372" w:rsidP="00D80372">
      <w:pPr>
        <w:autoSpaceDE w:val="0"/>
        <w:autoSpaceDN w:val="0"/>
        <w:adjustRightInd w:val="0"/>
        <w:ind w:left="-170" w:firstLine="540"/>
        <w:jc w:val="both"/>
      </w:pPr>
    </w:p>
    <w:p w:rsidR="00D80372" w:rsidRPr="007A37B2" w:rsidRDefault="00D80372" w:rsidP="00D80372">
      <w:pPr>
        <w:ind w:firstLine="567"/>
        <w:jc w:val="center"/>
        <w:rPr>
          <w:b/>
          <w:u w:val="single"/>
        </w:rPr>
      </w:pPr>
      <w:r w:rsidRPr="007A37B2">
        <w:rPr>
          <w:b/>
          <w:u w:val="single"/>
        </w:rPr>
        <w:t>Раздел 14 «Межбюджетные трансферты»</w:t>
      </w:r>
    </w:p>
    <w:p w:rsidR="00D80372" w:rsidRPr="007A37B2" w:rsidRDefault="00D80372" w:rsidP="00D80372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7A37B2">
        <w:rPr>
          <w:bCs/>
        </w:rPr>
        <w:t xml:space="preserve">В данном разделе отражены расходы по подразделу </w:t>
      </w:r>
      <w:r w:rsidRPr="00A428FA">
        <w:rPr>
          <w:bCs/>
        </w:rPr>
        <w:t>1403 «Прочие межбюджетные трансферты субъектов РФ и муниципальных образований общего характера».</w:t>
      </w:r>
    </w:p>
    <w:p w:rsidR="00D80372" w:rsidRDefault="00D80372" w:rsidP="00D80372">
      <w:pPr>
        <w:pStyle w:val="a9"/>
        <w:spacing w:after="0"/>
        <w:ind w:firstLine="539"/>
        <w:jc w:val="both"/>
      </w:pPr>
      <w:r w:rsidRPr="008B4E4C">
        <w:lastRenderedPageBreak/>
        <w:t xml:space="preserve">Ожидаемое исполнение расходов по подразделу 1403 в </w:t>
      </w:r>
      <w:r w:rsidR="006A0488">
        <w:t>2021</w:t>
      </w:r>
      <w:r w:rsidRPr="008B4E4C">
        <w:t xml:space="preserve"> году составит </w:t>
      </w:r>
      <w:r w:rsidR="006A0488">
        <w:t>568,7</w:t>
      </w:r>
      <w:r>
        <w:t xml:space="preserve"> тыс. рублей.</w:t>
      </w:r>
      <w:r w:rsidRPr="008B4E4C">
        <w:t xml:space="preserve"> </w:t>
      </w:r>
      <w:r w:rsidRPr="007A37B2">
        <w:t xml:space="preserve">На </w:t>
      </w:r>
      <w:r>
        <w:t>202</w:t>
      </w:r>
      <w:r w:rsidR="006A0488">
        <w:t>2</w:t>
      </w:r>
      <w:r w:rsidRPr="007A37B2">
        <w:t xml:space="preserve"> год</w:t>
      </w:r>
      <w:r>
        <w:t xml:space="preserve"> </w:t>
      </w:r>
      <w:r w:rsidRPr="007A37B2">
        <w:t xml:space="preserve">поселением предусмотрены </w:t>
      </w:r>
      <w:r w:rsidRPr="008727EE">
        <w:t xml:space="preserve">расходы на передачу четырех полномочий: организация осуществления внешнего муниципального </w:t>
      </w:r>
      <w:r>
        <w:t xml:space="preserve">финансового </w:t>
      </w:r>
      <w:r w:rsidRPr="008727EE">
        <w:t>контроля; на размещение муниципального заказа; по обслуживанию бюджетов поселений</w:t>
      </w:r>
      <w:r>
        <w:t xml:space="preserve"> и организация внутреннего муниципального контроля. </w:t>
      </w:r>
      <w:r w:rsidRPr="007A37B2">
        <w:t>Объем средств</w:t>
      </w:r>
      <w:r>
        <w:t>,</w:t>
      </w:r>
      <w:r w:rsidRPr="007A37B2">
        <w:t xml:space="preserve"> предусмотренных </w:t>
      </w:r>
      <w:r>
        <w:t xml:space="preserve">на эти цели </w:t>
      </w:r>
      <w:r w:rsidRPr="007A37B2">
        <w:t xml:space="preserve">в </w:t>
      </w:r>
      <w:r>
        <w:t>202</w:t>
      </w:r>
      <w:r w:rsidR="006A0488">
        <w:t>2</w:t>
      </w:r>
      <w:r w:rsidRPr="007A37B2">
        <w:t xml:space="preserve"> году</w:t>
      </w:r>
      <w:r>
        <w:t xml:space="preserve">, составляет </w:t>
      </w:r>
      <w:r w:rsidR="00861185">
        <w:t>602,2</w:t>
      </w:r>
      <w:r w:rsidRPr="007A37B2">
        <w:t xml:space="preserve"> тыс. рублей</w:t>
      </w:r>
      <w:r>
        <w:t>.</w:t>
      </w:r>
      <w:r w:rsidRPr="00A441D3">
        <w:rPr>
          <w:color w:val="FF0000"/>
        </w:rPr>
        <w:t xml:space="preserve"> </w:t>
      </w:r>
      <w:r w:rsidRPr="007A37B2">
        <w:t xml:space="preserve">Удельный вес расходов по данному разделу в общем объеме расходов бюджета </w:t>
      </w:r>
      <w:r>
        <w:t>составит</w:t>
      </w:r>
      <w:r w:rsidRPr="008B4E4C">
        <w:t xml:space="preserve"> </w:t>
      </w:r>
      <w:r w:rsidR="00861185">
        <w:t>в 2021</w:t>
      </w:r>
      <w:r>
        <w:t>г.</w:t>
      </w:r>
      <w:r w:rsidRPr="008B4E4C">
        <w:t xml:space="preserve"> – </w:t>
      </w:r>
      <w:r w:rsidR="00861185">
        <w:t>1,6%, в 2022</w:t>
      </w:r>
      <w:r>
        <w:t>г. – 4,</w:t>
      </w:r>
      <w:r w:rsidR="00861185">
        <w:t>8</w:t>
      </w:r>
      <w:r>
        <w:t>%.</w:t>
      </w:r>
    </w:p>
    <w:p w:rsidR="00861185" w:rsidRDefault="00861185" w:rsidP="00D80372">
      <w:pPr>
        <w:pStyle w:val="a9"/>
        <w:spacing w:after="0"/>
        <w:ind w:firstLine="539"/>
        <w:jc w:val="both"/>
      </w:pPr>
      <w:r>
        <w:t xml:space="preserve">На плановый период 2023-2024гг. МБТ не предусмотрены в виду отсутствия </w:t>
      </w:r>
      <w:r w:rsidR="00233EAB">
        <w:t>соглашений</w:t>
      </w:r>
      <w:r>
        <w:t>.</w:t>
      </w:r>
    </w:p>
    <w:p w:rsidR="00875BC9" w:rsidRDefault="00875BC9" w:rsidP="00D80372">
      <w:pPr>
        <w:ind w:firstLine="540"/>
        <w:jc w:val="center"/>
        <w:rPr>
          <w:b/>
          <w:u w:val="single"/>
        </w:rPr>
      </w:pPr>
    </w:p>
    <w:p w:rsidR="00D80372" w:rsidRDefault="00D80372" w:rsidP="00D80372">
      <w:pPr>
        <w:ind w:firstLine="540"/>
        <w:jc w:val="center"/>
        <w:rPr>
          <w:b/>
        </w:rPr>
      </w:pPr>
      <w:r w:rsidRPr="000F635B">
        <w:rPr>
          <w:b/>
          <w:u w:val="single"/>
        </w:rPr>
        <w:t>Муниципальные программы</w:t>
      </w:r>
    </w:p>
    <w:p w:rsidR="00C56789" w:rsidRPr="00513329" w:rsidRDefault="00D80372" w:rsidP="00D80372">
      <w:pPr>
        <w:jc w:val="both"/>
        <w:rPr>
          <w:b/>
        </w:rPr>
      </w:pPr>
      <w:r>
        <w:tab/>
      </w:r>
      <w:r w:rsidRPr="002840B8">
        <w:t xml:space="preserve">Проектом бюджета на </w:t>
      </w:r>
      <w:r>
        <w:t>202</w:t>
      </w:r>
      <w:r w:rsidR="00221926">
        <w:t>2</w:t>
      </w:r>
      <w:r>
        <w:t xml:space="preserve"> </w:t>
      </w:r>
      <w:r w:rsidRPr="002840B8">
        <w:t xml:space="preserve">год и плановый период </w:t>
      </w:r>
      <w:r>
        <w:t>202</w:t>
      </w:r>
      <w:r w:rsidR="008F2D25">
        <w:t>3</w:t>
      </w:r>
      <w:r w:rsidRPr="002840B8">
        <w:t xml:space="preserve"> и </w:t>
      </w:r>
      <w:r w:rsidR="008F2D25">
        <w:t>2024</w:t>
      </w:r>
      <w:r w:rsidRPr="002840B8">
        <w:t xml:space="preserve"> годов </w:t>
      </w:r>
      <w:r>
        <w:t xml:space="preserve">предусмотрена </w:t>
      </w:r>
      <w:r w:rsidRPr="002840B8">
        <w:t xml:space="preserve">реализация </w:t>
      </w:r>
      <w:r>
        <w:t xml:space="preserve">одной </w:t>
      </w:r>
      <w:r w:rsidRPr="002840B8">
        <w:t>муниципальн</w:t>
      </w:r>
      <w:r>
        <w:t>ой</w:t>
      </w:r>
      <w:r w:rsidRPr="002840B8">
        <w:t xml:space="preserve"> программ</w:t>
      </w:r>
      <w:r>
        <w:t xml:space="preserve">ы – </w:t>
      </w:r>
      <w:r w:rsidRPr="00DF6BE9">
        <w:t xml:space="preserve">«Формирование современной городской среды </w:t>
      </w:r>
      <w:proofErr w:type="spellStart"/>
      <w:r w:rsidRPr="00DF6BE9">
        <w:t>Каразейского</w:t>
      </w:r>
      <w:proofErr w:type="spellEnd"/>
      <w:r w:rsidRPr="00DF6BE9">
        <w:t xml:space="preserve"> МО» </w:t>
      </w:r>
      <w:r>
        <w:t>(КЦСР 7300020240)</w:t>
      </w:r>
      <w:r w:rsidR="00C56789">
        <w:t xml:space="preserve"> </w:t>
      </w:r>
      <w:r w:rsidR="00513329">
        <w:t xml:space="preserve">в объеме </w:t>
      </w:r>
      <w:r w:rsidR="00C56789">
        <w:t>по 50 тыс. руб. ежегодно.</w:t>
      </w:r>
      <w:r w:rsidRPr="002840B8">
        <w:t xml:space="preserve"> </w:t>
      </w:r>
      <w:r>
        <w:t>Срок реализации указанной программы 2018-202</w:t>
      </w:r>
      <w:r w:rsidR="008F2D25">
        <w:t>4</w:t>
      </w:r>
      <w:r>
        <w:t xml:space="preserve">годы. </w:t>
      </w:r>
      <w:r w:rsidR="00C56789">
        <w:t xml:space="preserve"> </w:t>
      </w:r>
      <w:r w:rsidR="00C56789" w:rsidRPr="00513329">
        <w:rPr>
          <w:b/>
        </w:rPr>
        <w:t>При этом КСП отмечает, что паспортом программы ресурсное обеспечение программы на 2023 и 2024 годы не пре</w:t>
      </w:r>
      <w:r w:rsidR="00513329" w:rsidRPr="00513329">
        <w:rPr>
          <w:b/>
        </w:rPr>
        <w:t>дусмотрено, следовательно</w:t>
      </w:r>
      <w:r w:rsidR="00513329">
        <w:rPr>
          <w:b/>
        </w:rPr>
        <w:t>, основания</w:t>
      </w:r>
      <w:r w:rsidR="00513329" w:rsidRPr="00513329">
        <w:rPr>
          <w:b/>
        </w:rPr>
        <w:t xml:space="preserve"> для планирования данных ассигнований в рамках муниципальной программы на 2023 и 2024гг. отсутствует.</w:t>
      </w:r>
    </w:p>
    <w:p w:rsidR="00513329" w:rsidRDefault="00513329" w:rsidP="00D80372">
      <w:pPr>
        <w:jc w:val="both"/>
      </w:pPr>
    </w:p>
    <w:p w:rsidR="00D80372" w:rsidRPr="0036109A" w:rsidRDefault="00D80372" w:rsidP="00D80372">
      <w:pPr>
        <w:ind w:left="-540" w:right="-365"/>
        <w:jc w:val="center"/>
        <w:rPr>
          <w:b/>
        </w:rPr>
      </w:pPr>
      <w:r>
        <w:rPr>
          <w:b/>
        </w:rPr>
        <w:t>Выводы:</w:t>
      </w:r>
    </w:p>
    <w:p w:rsidR="00D1291B" w:rsidRPr="00D1291B" w:rsidRDefault="00D80372" w:rsidP="00D1291B">
      <w:pPr>
        <w:ind w:firstLine="567"/>
        <w:jc w:val="both"/>
      </w:pPr>
      <w:r>
        <w:t>1.</w:t>
      </w:r>
      <w:r w:rsidRPr="00DF6BE9">
        <w:t xml:space="preserve"> </w:t>
      </w:r>
      <w:r w:rsidR="00D1291B" w:rsidRPr="00C12FFB">
        <w:t>Проект бюджета проанализирован на его соответствие требованиям БК РФ.</w:t>
      </w:r>
      <w:r w:rsidR="00D1291B" w:rsidRPr="006A1462">
        <w:t xml:space="preserve"> </w:t>
      </w:r>
      <w:r w:rsidR="00D1291B">
        <w:t>П</w:t>
      </w:r>
      <w:r w:rsidR="00D1291B" w:rsidRPr="006A1462">
        <w:t xml:space="preserve">роект решения и материалы, представленные вместе с ним, </w:t>
      </w:r>
      <w:r w:rsidR="00D1291B">
        <w:t xml:space="preserve">в основном, </w:t>
      </w:r>
      <w:r w:rsidR="00D1291B" w:rsidRPr="006A1462">
        <w:t>соответствуют требованиям ст.ст.184.1, 184.2 БК РФ и ст.</w:t>
      </w:r>
      <w:r w:rsidR="00D1291B">
        <w:t xml:space="preserve"> </w:t>
      </w:r>
      <w:r w:rsidR="00D1291B" w:rsidRPr="006A1462">
        <w:t>ст</w:t>
      </w:r>
      <w:r w:rsidR="00D1291B" w:rsidRPr="00BD1508">
        <w:t xml:space="preserve">. </w:t>
      </w:r>
      <w:r w:rsidR="00D1291B" w:rsidRPr="00D015C9">
        <w:t>24,25</w:t>
      </w:r>
      <w:r w:rsidR="00D1291B" w:rsidRPr="00E43ACD">
        <w:t xml:space="preserve"> Положения</w:t>
      </w:r>
      <w:r w:rsidR="00D1291B" w:rsidRPr="00BD1508">
        <w:t xml:space="preserve"> о бюджетном процессе поселения</w:t>
      </w:r>
      <w:r w:rsidR="00D1291B" w:rsidRPr="006A1462">
        <w:t>.</w:t>
      </w:r>
      <w:r w:rsidR="00D1291B">
        <w:t xml:space="preserve"> Вместе с тем имеются замечания: </w:t>
      </w:r>
      <w:r w:rsidR="00D1291B" w:rsidRPr="00D1291B">
        <w:t>одновременно с проектом методики (проекты методик) и расчеты распределения межбюджетных трансфертов представлены в неполном объеме (представлена одна методика из четырех предусмотренных к финансированию).</w:t>
      </w:r>
    </w:p>
    <w:p w:rsidR="00D1291B" w:rsidRDefault="004F2F3C" w:rsidP="00D80372">
      <w:pPr>
        <w:ind w:firstLine="567"/>
        <w:jc w:val="both"/>
      </w:pPr>
      <w:r>
        <w:t xml:space="preserve">2. К прогнозу СЭР </w:t>
      </w:r>
      <w:proofErr w:type="spellStart"/>
      <w:r>
        <w:t>Каразейского</w:t>
      </w:r>
      <w:proofErr w:type="spellEnd"/>
      <w:r>
        <w:t xml:space="preserve"> МО имеются следующие замечания:</w:t>
      </w:r>
    </w:p>
    <w:p w:rsidR="00F13BF6" w:rsidRDefault="004F2F3C" w:rsidP="00F13BF6">
      <w:pPr>
        <w:ind w:firstLine="567"/>
        <w:jc w:val="both"/>
      </w:pPr>
      <w:r>
        <w:t>-</w:t>
      </w:r>
      <w:r w:rsidR="00F13BF6" w:rsidRPr="00F13BF6">
        <w:rPr>
          <w:b/>
        </w:rPr>
        <w:t xml:space="preserve"> </w:t>
      </w:r>
      <w:r w:rsidR="00F13BF6" w:rsidRPr="00F13BF6">
        <w:t>в нарушение норм ст.173 БК РФ и ст.12 Положения о бюджетном процессе пояснительная зап</w:t>
      </w:r>
      <w:r w:rsidR="00F13BF6">
        <w:t>иска к Прогнозу СЭР отсутствует;</w:t>
      </w:r>
    </w:p>
    <w:p w:rsidR="00F13BF6" w:rsidRDefault="00F13BF6" w:rsidP="00F13BF6">
      <w:pPr>
        <w:ind w:firstLine="567"/>
        <w:jc w:val="both"/>
      </w:pPr>
      <w:r>
        <w:t>-</w:t>
      </w:r>
      <w:r w:rsidRPr="00F13BF6">
        <w:t xml:space="preserve"> </w:t>
      </w:r>
      <w:r>
        <w:t>основным показателем, характеризующим экономическое развитие поселения, является выручка от реализации продукции, работ, услуг.</w:t>
      </w:r>
      <w:r w:rsidRPr="00720636">
        <w:t xml:space="preserve"> </w:t>
      </w:r>
      <w:r>
        <w:t xml:space="preserve">Выручка планируется в трех сферах: сельское хозяйство, торговля и прочие. Однако, </w:t>
      </w:r>
      <w:r w:rsidRPr="00F13BF6">
        <w:t>показатель, как «число действующих предприятий», в том числе по видам экономической деятельности в представленном прогнозе отсутствует</w:t>
      </w:r>
      <w:r>
        <w:t>;</w:t>
      </w:r>
    </w:p>
    <w:p w:rsidR="00F13BF6" w:rsidRDefault="002C3931" w:rsidP="00F13BF6">
      <w:pPr>
        <w:ind w:firstLine="567"/>
        <w:jc w:val="both"/>
      </w:pPr>
      <w:r>
        <w:t xml:space="preserve">- </w:t>
      </w:r>
      <w:r w:rsidR="00BE16F2">
        <w:t>среднесписочная численность работников по полному кругу организаций на плановый период 2022-2024 годов составит 184 чел. ежегодно. Однако при арифметическом подсчете среднесписочная численность работников по полному кругу организаций на 2022-2024гг. составит 198 чел. ежегодно.</w:t>
      </w:r>
    </w:p>
    <w:p w:rsidR="002C31C3" w:rsidRPr="002C31C3" w:rsidRDefault="00C613FD" w:rsidP="00C613FD">
      <w:pPr>
        <w:ind w:firstLine="567"/>
        <w:jc w:val="both"/>
      </w:pPr>
      <w:r>
        <w:t>3.</w:t>
      </w:r>
      <w:r w:rsidRPr="00C613FD">
        <w:t xml:space="preserve"> </w:t>
      </w:r>
      <w:r w:rsidR="002C31C3" w:rsidRPr="002C31C3">
        <w:t xml:space="preserve">Пунктом 5 текстовой части проекта бюджета предлагается утвердить перечень главных администраторов доходов бюджета поселения. Однако, в связи с внесенными изменениями Федеральным законом от 1 июля 2021 № 251-ФЗ в </w:t>
      </w:r>
      <w:r w:rsidR="0011485C">
        <w:t>Б</w:t>
      </w:r>
      <w:r w:rsidR="002C31C3" w:rsidRPr="002C31C3">
        <w:t>юджетный кодекс, перечень главных администраторов доходов местного бюджета утверждается местной администрацией в соответствии с общими требованиями, установленными постановлением Правительства Российской Федерации от 16.09.2021г. №1569.</w:t>
      </w:r>
    </w:p>
    <w:p w:rsidR="00C613FD" w:rsidRPr="00C613FD" w:rsidRDefault="00C613FD" w:rsidP="00C613FD">
      <w:pPr>
        <w:autoSpaceDE w:val="0"/>
        <w:autoSpaceDN w:val="0"/>
        <w:adjustRightInd w:val="0"/>
        <w:ind w:firstLine="567"/>
        <w:jc w:val="both"/>
      </w:pPr>
      <w:r>
        <w:t>4.</w:t>
      </w:r>
      <w:r w:rsidRPr="00C613FD">
        <w:t xml:space="preserve"> </w:t>
      </w:r>
      <w:r w:rsidRPr="00F821BD">
        <w:t xml:space="preserve">В </w:t>
      </w:r>
      <w:r>
        <w:t>проекте бюджета</w:t>
      </w:r>
      <w:r w:rsidRPr="00F821BD">
        <w:t xml:space="preserve"> поступление налога на доходы физических лиц в </w:t>
      </w:r>
      <w:r>
        <w:t>2022</w:t>
      </w:r>
      <w:r w:rsidRPr="00F821BD">
        <w:t xml:space="preserve"> году прогнозируется в сумме </w:t>
      </w:r>
      <w:r w:rsidRPr="00C613FD">
        <w:t>591,1 тыс. руб.,</w:t>
      </w:r>
      <w:r>
        <w:rPr>
          <w:b/>
        </w:rPr>
        <w:t xml:space="preserve"> </w:t>
      </w:r>
      <w:r w:rsidRPr="003406A8">
        <w:t xml:space="preserve">что </w:t>
      </w:r>
      <w:r w:rsidRPr="00F821BD">
        <w:t xml:space="preserve">составляет </w:t>
      </w:r>
      <w:r>
        <w:t>85,4</w:t>
      </w:r>
      <w:r w:rsidRPr="00F821BD">
        <w:t>% к ожидаем</w:t>
      </w:r>
      <w:r>
        <w:t>ым</w:t>
      </w:r>
      <w:r w:rsidRPr="00F821BD">
        <w:t xml:space="preserve"> поступлени</w:t>
      </w:r>
      <w:r>
        <w:t>ям</w:t>
      </w:r>
      <w:r w:rsidRPr="00F821BD">
        <w:t xml:space="preserve"> </w:t>
      </w:r>
      <w:r>
        <w:t>2021</w:t>
      </w:r>
      <w:r w:rsidRPr="00F821BD">
        <w:t xml:space="preserve"> года</w:t>
      </w:r>
      <w:r>
        <w:t xml:space="preserve">. Кассовое поступление налога на доходы физических лиц текущего финансового года по состоянию на 1 ноября 2021 года составило 592,9 тыс. руб., или 85,6% от ожидаемого годового исполнения (692,3 тыс. руб.). </w:t>
      </w:r>
      <w:r w:rsidRPr="00734488">
        <w:t>Недоимка по данному налогу на 01.1</w:t>
      </w:r>
      <w:r>
        <w:t>0</w:t>
      </w:r>
      <w:r w:rsidRPr="00734488">
        <w:t>.</w:t>
      </w:r>
      <w:r>
        <w:t>2021</w:t>
      </w:r>
      <w:r w:rsidRPr="00734488">
        <w:t>г. составляет</w:t>
      </w:r>
      <w:r>
        <w:t xml:space="preserve"> 7,4 </w:t>
      </w:r>
      <w:r w:rsidRPr="00734488">
        <w:t>тыс. руб.</w:t>
      </w:r>
      <w:r>
        <w:t xml:space="preserve"> </w:t>
      </w:r>
      <w:r w:rsidRPr="00C613FD">
        <w:t>Пояснительная записка к проекту бюджета не содержит разъяснения о причинах снижения плановых поступлений доходов от НДФЛ.</w:t>
      </w:r>
    </w:p>
    <w:p w:rsidR="00C613FD" w:rsidRDefault="00C613FD" w:rsidP="00C613FD">
      <w:pPr>
        <w:autoSpaceDE w:val="0"/>
        <w:autoSpaceDN w:val="0"/>
        <w:adjustRightInd w:val="0"/>
        <w:ind w:firstLine="567"/>
        <w:jc w:val="both"/>
      </w:pPr>
      <w:r w:rsidRPr="00C613FD">
        <w:t xml:space="preserve">Учитывая темпы роста среднемесячной заработной платы, определенные Прогнозом СЭР </w:t>
      </w:r>
      <w:proofErr w:type="spellStart"/>
      <w:r w:rsidRPr="00C613FD">
        <w:t>Каразейским</w:t>
      </w:r>
      <w:proofErr w:type="spellEnd"/>
      <w:r w:rsidRPr="00C613FD">
        <w:t xml:space="preserve"> МО, на 2022 год – 104,1%, на 2023г. -104,3%, на 2024г. – 104,1%, </w:t>
      </w:r>
      <w:r w:rsidRPr="00C613FD">
        <w:lastRenderedPageBreak/>
        <w:t>фактическое поступление НДФЛ за 10 месяцев 2021г., КСП полагает, что прогнозные показатели НДФЛ несколько занижены и их следует откорректировать в сторону увеличения.</w:t>
      </w:r>
    </w:p>
    <w:p w:rsidR="005467A2" w:rsidRDefault="00C613FD" w:rsidP="005467A2">
      <w:pPr>
        <w:autoSpaceDE w:val="0"/>
        <w:autoSpaceDN w:val="0"/>
        <w:adjustRightInd w:val="0"/>
        <w:ind w:firstLine="567"/>
        <w:jc w:val="both"/>
      </w:pPr>
      <w:r>
        <w:t>5.</w:t>
      </w:r>
      <w:r w:rsidR="005467A2" w:rsidRPr="005467A2">
        <w:t xml:space="preserve"> По подразделу 0104 предусмотрены расходы на реализацию мероприятий народных инициатив в сумме 50 тыс. руб. по коду целевой статьи расходов 71803</w:t>
      </w:r>
      <w:r w:rsidR="005467A2" w:rsidRPr="005467A2">
        <w:rPr>
          <w:lang w:val="en-US"/>
        </w:rPr>
        <w:t>S</w:t>
      </w:r>
      <w:r w:rsidR="005467A2" w:rsidRPr="005467A2">
        <w:t>2370 «расходы на реализацию мероприятий перечня проектов народных инициатив» в сфере благоустройства. В соответствии с приказом ФУА МО Куйтунский район от 11.12.2019 №65 данные расходы должны быть запланированы по подразделу 0503 «Благоустройство».</w:t>
      </w:r>
    </w:p>
    <w:p w:rsidR="005A6DB9" w:rsidRPr="005467A2" w:rsidRDefault="005467A2" w:rsidP="005A6DB9">
      <w:pPr>
        <w:autoSpaceDE w:val="0"/>
        <w:autoSpaceDN w:val="0"/>
        <w:adjustRightInd w:val="0"/>
        <w:ind w:firstLine="567"/>
        <w:jc w:val="both"/>
      </w:pPr>
      <w:r>
        <w:t>6.</w:t>
      </w:r>
      <w:r w:rsidRPr="005467A2">
        <w:t xml:space="preserve"> </w:t>
      </w:r>
      <w:r w:rsidR="005A6DB9">
        <w:t xml:space="preserve">Приложениями № 9,10 и 13 к проекту бюджета предлагаются бюджетные ассигнования на реализацию муниципальной программы </w:t>
      </w:r>
      <w:r w:rsidR="005A6DB9" w:rsidRPr="00DF6BE9">
        <w:t xml:space="preserve">«Формирование современной городской среды </w:t>
      </w:r>
      <w:proofErr w:type="spellStart"/>
      <w:r w:rsidR="005A6DB9" w:rsidRPr="00DF6BE9">
        <w:t>Каразейского</w:t>
      </w:r>
      <w:proofErr w:type="spellEnd"/>
      <w:r w:rsidR="005A6DB9" w:rsidRPr="00DF6BE9">
        <w:t xml:space="preserve"> МО» </w:t>
      </w:r>
      <w:r w:rsidR="005A6DB9">
        <w:t xml:space="preserve">в объеме по 50 тыс. руб. ежегодно. Однако, </w:t>
      </w:r>
      <w:r w:rsidR="005A6DB9" w:rsidRPr="005467A2">
        <w:t>паспортом программы ресурсное обеспечение программы на 2023 и 2024 годы не предусмотрено, следовательно, основания для планирования данных ассигнований в рамках муниципальной программы на 2023 и 2024гг. отсутству</w:t>
      </w:r>
      <w:r w:rsidR="005A6DB9">
        <w:t>ю</w:t>
      </w:r>
      <w:r w:rsidR="005A6DB9" w:rsidRPr="005467A2">
        <w:t>т.</w:t>
      </w:r>
    </w:p>
    <w:p w:rsidR="00D80372" w:rsidRDefault="00D80372" w:rsidP="00D80372">
      <w:pPr>
        <w:ind w:left="-170" w:firstLine="567"/>
        <w:jc w:val="both"/>
      </w:pPr>
    </w:p>
    <w:p w:rsidR="00D80372" w:rsidRDefault="00D80372" w:rsidP="00D80372">
      <w:pPr>
        <w:ind w:left="-170" w:firstLine="567"/>
        <w:jc w:val="both"/>
      </w:pPr>
    </w:p>
    <w:p w:rsidR="00D80372" w:rsidRPr="006110B1" w:rsidRDefault="00D80372" w:rsidP="00D80372">
      <w:pPr>
        <w:shd w:val="clear" w:color="auto" w:fill="FFFFFF"/>
        <w:ind w:firstLine="567"/>
        <w:jc w:val="both"/>
        <w:rPr>
          <w:b/>
        </w:rPr>
      </w:pPr>
      <w:r w:rsidRPr="00373EC6">
        <w:rPr>
          <w:b/>
        </w:rPr>
        <w:t xml:space="preserve">Данный проект бюджета </w:t>
      </w:r>
      <w:proofErr w:type="spellStart"/>
      <w:r w:rsidRPr="00373EC6">
        <w:rPr>
          <w:b/>
        </w:rPr>
        <w:t>Каразейс</w:t>
      </w:r>
      <w:r w:rsidR="00875BC9">
        <w:rPr>
          <w:b/>
        </w:rPr>
        <w:t>кого</w:t>
      </w:r>
      <w:proofErr w:type="spellEnd"/>
      <w:r w:rsidR="00875BC9">
        <w:rPr>
          <w:b/>
        </w:rPr>
        <w:t xml:space="preserve"> сельского поселения на 2022</w:t>
      </w:r>
      <w:r w:rsidRPr="00373EC6">
        <w:rPr>
          <w:b/>
        </w:rPr>
        <w:t xml:space="preserve"> год и плановый период 202</w:t>
      </w:r>
      <w:r w:rsidR="00875BC9">
        <w:rPr>
          <w:b/>
        </w:rPr>
        <w:t>3 и 2024</w:t>
      </w:r>
      <w:r w:rsidRPr="00373EC6">
        <w:rPr>
          <w:b/>
        </w:rPr>
        <w:t xml:space="preserve"> годов КСП рекомендован к принятию</w:t>
      </w:r>
      <w:r>
        <w:t xml:space="preserve"> </w:t>
      </w:r>
      <w:r w:rsidRPr="006110B1">
        <w:rPr>
          <w:b/>
        </w:rPr>
        <w:t>после устранения замечаний, указанных в настоящем заключении.</w:t>
      </w:r>
    </w:p>
    <w:p w:rsidR="00D80372" w:rsidRDefault="00D80372" w:rsidP="00D80372">
      <w:pPr>
        <w:shd w:val="clear" w:color="auto" w:fill="FFFFFF"/>
        <w:ind w:firstLine="567"/>
        <w:jc w:val="both"/>
      </w:pPr>
    </w:p>
    <w:p w:rsidR="00D80372" w:rsidRDefault="00D80372" w:rsidP="00D80372">
      <w:pPr>
        <w:shd w:val="clear" w:color="auto" w:fill="FFFFFF"/>
        <w:ind w:firstLine="567"/>
        <w:jc w:val="both"/>
      </w:pPr>
    </w:p>
    <w:p w:rsidR="00D80372" w:rsidRDefault="00D80372" w:rsidP="00D80372">
      <w:pPr>
        <w:shd w:val="clear" w:color="auto" w:fill="FFFFFF"/>
        <w:ind w:firstLine="567"/>
        <w:jc w:val="both"/>
      </w:pPr>
    </w:p>
    <w:p w:rsidR="00D80372" w:rsidRPr="00A441D3" w:rsidRDefault="00875BC9" w:rsidP="00D80372">
      <w:r>
        <w:t>Ведущий инспектор</w:t>
      </w:r>
      <w:r w:rsidR="00D80372">
        <w:t xml:space="preserve"> </w:t>
      </w:r>
      <w:r w:rsidR="00D80372" w:rsidRPr="00A441D3">
        <w:t xml:space="preserve">  Контрольно-счетной палаты </w:t>
      </w:r>
    </w:p>
    <w:p w:rsidR="00D80372" w:rsidRPr="00A441D3" w:rsidRDefault="00D80372" w:rsidP="00D80372">
      <w:proofErr w:type="gramStart"/>
      <w:r w:rsidRPr="00A441D3">
        <w:t>муниципального</w:t>
      </w:r>
      <w:proofErr w:type="gramEnd"/>
      <w:r w:rsidRPr="00A441D3">
        <w:t xml:space="preserve"> образования Куйтунский р</w:t>
      </w:r>
      <w:r>
        <w:t xml:space="preserve">айон        ____________       </w:t>
      </w:r>
      <w:r w:rsidR="00875BC9">
        <w:t>Е.И.Гришкевич</w:t>
      </w:r>
      <w:r w:rsidRPr="00A441D3">
        <w:t xml:space="preserve">    </w:t>
      </w:r>
    </w:p>
    <w:p w:rsidR="00D80372" w:rsidRDefault="00D80372" w:rsidP="00D80372"/>
    <w:p w:rsidR="00D80372" w:rsidRDefault="00D80372" w:rsidP="00D80372">
      <w:pPr>
        <w:shd w:val="clear" w:color="auto" w:fill="FFFFFF"/>
        <w:ind w:firstLine="567"/>
        <w:jc w:val="both"/>
      </w:pPr>
    </w:p>
    <w:p w:rsidR="00436DE7" w:rsidRDefault="00436DE7"/>
    <w:sectPr w:rsidR="00436DE7" w:rsidSect="00FC782C">
      <w:footerReference w:type="even" r:id="rId10"/>
      <w:footerReference w:type="default" r:id="rId11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4B" w:rsidRDefault="0029274B">
      <w:r>
        <w:separator/>
      </w:r>
    </w:p>
  </w:endnote>
  <w:endnote w:type="continuationSeparator" w:id="0">
    <w:p w:rsidR="0029274B" w:rsidRDefault="0029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C4" w:rsidRDefault="00822FC4" w:rsidP="000C52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FC4" w:rsidRDefault="00822FC4" w:rsidP="000C52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C4" w:rsidRDefault="00822FC4" w:rsidP="000C52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4CFF">
      <w:rPr>
        <w:rStyle w:val="a5"/>
        <w:noProof/>
      </w:rPr>
      <w:t>14</w:t>
    </w:r>
    <w:r>
      <w:rPr>
        <w:rStyle w:val="a5"/>
      </w:rPr>
      <w:fldChar w:fldCharType="end"/>
    </w:r>
  </w:p>
  <w:p w:rsidR="00822FC4" w:rsidRDefault="00822FC4" w:rsidP="000C52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4B" w:rsidRDefault="0029274B">
      <w:r>
        <w:separator/>
      </w:r>
    </w:p>
  </w:footnote>
  <w:footnote w:type="continuationSeparator" w:id="0">
    <w:p w:rsidR="0029274B" w:rsidRDefault="0029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2707"/>
    <w:multiLevelType w:val="hybridMultilevel"/>
    <w:tmpl w:val="47EA5962"/>
    <w:lvl w:ilvl="0" w:tplc="8CAE697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0655DF"/>
    <w:multiLevelType w:val="hybridMultilevel"/>
    <w:tmpl w:val="E08ACCE4"/>
    <w:lvl w:ilvl="0" w:tplc="D5DE56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1E4BA8"/>
    <w:multiLevelType w:val="hybridMultilevel"/>
    <w:tmpl w:val="7B68D384"/>
    <w:lvl w:ilvl="0" w:tplc="FFDC675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15350E5"/>
    <w:multiLevelType w:val="hybridMultilevel"/>
    <w:tmpl w:val="97145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D5B93"/>
    <w:multiLevelType w:val="hybridMultilevel"/>
    <w:tmpl w:val="476AFAA8"/>
    <w:lvl w:ilvl="0" w:tplc="6296A49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EB6766B"/>
    <w:multiLevelType w:val="hybridMultilevel"/>
    <w:tmpl w:val="B226FE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F535FBF"/>
    <w:multiLevelType w:val="multilevel"/>
    <w:tmpl w:val="E35278CA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2"/>
      <w:numFmt w:val="decimal"/>
      <w:lvlText w:val="%1.%2"/>
      <w:lvlJc w:val="left"/>
      <w:pPr>
        <w:tabs>
          <w:tab w:val="num" w:pos="952"/>
        </w:tabs>
        <w:ind w:left="952" w:hanging="840"/>
      </w:pPr>
    </w:lvl>
    <w:lvl w:ilvl="2">
      <w:start w:val="16"/>
      <w:numFmt w:val="decimal"/>
      <w:lvlText w:val="%1.%2.%3"/>
      <w:lvlJc w:val="left"/>
      <w:pPr>
        <w:tabs>
          <w:tab w:val="num" w:pos="1064"/>
        </w:tabs>
        <w:ind w:left="1064" w:hanging="840"/>
      </w:p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</w:lvl>
  </w:abstractNum>
  <w:abstractNum w:abstractNumId="7">
    <w:nsid w:val="24271942"/>
    <w:multiLevelType w:val="hybridMultilevel"/>
    <w:tmpl w:val="2760FF6A"/>
    <w:lvl w:ilvl="0" w:tplc="EED4014C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D832485"/>
    <w:multiLevelType w:val="hybridMultilevel"/>
    <w:tmpl w:val="8006EF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D31EFE"/>
    <w:multiLevelType w:val="hybridMultilevel"/>
    <w:tmpl w:val="3064F54E"/>
    <w:lvl w:ilvl="0" w:tplc="9A5E8D1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30A3DA3"/>
    <w:multiLevelType w:val="hybridMultilevel"/>
    <w:tmpl w:val="5C5EDC88"/>
    <w:lvl w:ilvl="0" w:tplc="5A4EFA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B25ED"/>
    <w:multiLevelType w:val="hybridMultilevel"/>
    <w:tmpl w:val="EEE43810"/>
    <w:lvl w:ilvl="0" w:tplc="D03E62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B0E3D"/>
    <w:multiLevelType w:val="hybridMultilevel"/>
    <w:tmpl w:val="0EB0C28E"/>
    <w:lvl w:ilvl="0" w:tplc="E4DEA15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D84DDC"/>
    <w:multiLevelType w:val="hybridMultilevel"/>
    <w:tmpl w:val="6910F9D8"/>
    <w:lvl w:ilvl="0" w:tplc="8572D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3A2DF0"/>
    <w:multiLevelType w:val="hybridMultilevel"/>
    <w:tmpl w:val="751AF778"/>
    <w:lvl w:ilvl="0" w:tplc="C7D8428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43585B"/>
    <w:multiLevelType w:val="multilevel"/>
    <w:tmpl w:val="C234E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3EA15D9F"/>
    <w:multiLevelType w:val="hybridMultilevel"/>
    <w:tmpl w:val="94B6752C"/>
    <w:lvl w:ilvl="0" w:tplc="0D66843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59809E6"/>
    <w:multiLevelType w:val="hybridMultilevel"/>
    <w:tmpl w:val="2F623C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60D90"/>
    <w:multiLevelType w:val="hybridMultilevel"/>
    <w:tmpl w:val="CA281940"/>
    <w:lvl w:ilvl="0" w:tplc="BA10A4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EC5218C"/>
    <w:multiLevelType w:val="hybridMultilevel"/>
    <w:tmpl w:val="2F7E6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E2210D"/>
    <w:multiLevelType w:val="hybridMultilevel"/>
    <w:tmpl w:val="A6989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41268"/>
    <w:multiLevelType w:val="hybridMultilevel"/>
    <w:tmpl w:val="FB3E062C"/>
    <w:lvl w:ilvl="0" w:tplc="829E45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54132A6F"/>
    <w:multiLevelType w:val="hybridMultilevel"/>
    <w:tmpl w:val="CCF210EA"/>
    <w:lvl w:ilvl="0" w:tplc="21B20F2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B1A3E47"/>
    <w:multiLevelType w:val="hybridMultilevel"/>
    <w:tmpl w:val="7990EAC0"/>
    <w:lvl w:ilvl="0" w:tplc="8CAE895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D2817B7"/>
    <w:multiLevelType w:val="multilevel"/>
    <w:tmpl w:val="1A7A2FF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817"/>
        </w:tabs>
        <w:ind w:left="817" w:hanging="705"/>
      </w:pPr>
    </w:lvl>
    <w:lvl w:ilvl="2">
      <w:start w:val="1"/>
      <w:numFmt w:val="decimal"/>
      <w:lvlText w:val="%1.%2.%3"/>
      <w:lvlJc w:val="left"/>
      <w:pPr>
        <w:tabs>
          <w:tab w:val="num" w:pos="944"/>
        </w:tabs>
        <w:ind w:left="944" w:hanging="720"/>
      </w:p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080"/>
      </w:pPr>
    </w:lvl>
    <w:lvl w:ilvl="4">
      <w:start w:val="1"/>
      <w:numFmt w:val="decimal"/>
      <w:lvlText w:val="%1.%2.%3.%4.%5"/>
      <w:lvlJc w:val="left"/>
      <w:pPr>
        <w:tabs>
          <w:tab w:val="num" w:pos="1528"/>
        </w:tabs>
        <w:ind w:left="1528" w:hanging="1080"/>
      </w:p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</w:lvl>
  </w:abstractNum>
  <w:abstractNum w:abstractNumId="25">
    <w:nsid w:val="5DE42BA5"/>
    <w:multiLevelType w:val="hybridMultilevel"/>
    <w:tmpl w:val="5F34D834"/>
    <w:lvl w:ilvl="0" w:tplc="7C647F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F7B2B68"/>
    <w:multiLevelType w:val="hybridMultilevel"/>
    <w:tmpl w:val="2E887D54"/>
    <w:lvl w:ilvl="0" w:tplc="92286BC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E7055F"/>
    <w:multiLevelType w:val="hybridMultilevel"/>
    <w:tmpl w:val="788C3598"/>
    <w:lvl w:ilvl="0" w:tplc="34FABA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BF67823"/>
    <w:multiLevelType w:val="hybridMultilevel"/>
    <w:tmpl w:val="029088EE"/>
    <w:lvl w:ilvl="0" w:tplc="F1E0CB8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E9B058F"/>
    <w:multiLevelType w:val="hybridMultilevel"/>
    <w:tmpl w:val="0892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B2140"/>
    <w:multiLevelType w:val="multilevel"/>
    <w:tmpl w:val="3CA2824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0A13044"/>
    <w:multiLevelType w:val="hybridMultilevel"/>
    <w:tmpl w:val="010C600E"/>
    <w:lvl w:ilvl="0" w:tplc="6FD0F68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510FE5C">
      <w:numFmt w:val="none"/>
      <w:lvlText w:val=""/>
      <w:lvlJc w:val="left"/>
      <w:pPr>
        <w:tabs>
          <w:tab w:val="num" w:pos="360"/>
        </w:tabs>
      </w:pPr>
    </w:lvl>
    <w:lvl w:ilvl="2" w:tplc="D968F70E">
      <w:numFmt w:val="none"/>
      <w:lvlText w:val=""/>
      <w:lvlJc w:val="left"/>
      <w:pPr>
        <w:tabs>
          <w:tab w:val="num" w:pos="360"/>
        </w:tabs>
      </w:pPr>
    </w:lvl>
    <w:lvl w:ilvl="3" w:tplc="783C3802">
      <w:numFmt w:val="none"/>
      <w:lvlText w:val=""/>
      <w:lvlJc w:val="left"/>
      <w:pPr>
        <w:tabs>
          <w:tab w:val="num" w:pos="360"/>
        </w:tabs>
      </w:pPr>
    </w:lvl>
    <w:lvl w:ilvl="4" w:tplc="F2B00682">
      <w:numFmt w:val="none"/>
      <w:lvlText w:val=""/>
      <w:lvlJc w:val="left"/>
      <w:pPr>
        <w:tabs>
          <w:tab w:val="num" w:pos="360"/>
        </w:tabs>
      </w:pPr>
    </w:lvl>
    <w:lvl w:ilvl="5" w:tplc="2DD24228">
      <w:numFmt w:val="none"/>
      <w:lvlText w:val=""/>
      <w:lvlJc w:val="left"/>
      <w:pPr>
        <w:tabs>
          <w:tab w:val="num" w:pos="360"/>
        </w:tabs>
      </w:pPr>
    </w:lvl>
    <w:lvl w:ilvl="6" w:tplc="5260A32C">
      <w:numFmt w:val="none"/>
      <w:lvlText w:val=""/>
      <w:lvlJc w:val="left"/>
      <w:pPr>
        <w:tabs>
          <w:tab w:val="num" w:pos="360"/>
        </w:tabs>
      </w:pPr>
    </w:lvl>
    <w:lvl w:ilvl="7" w:tplc="6DD0214A">
      <w:numFmt w:val="none"/>
      <w:lvlText w:val=""/>
      <w:lvlJc w:val="left"/>
      <w:pPr>
        <w:tabs>
          <w:tab w:val="num" w:pos="360"/>
        </w:tabs>
      </w:pPr>
    </w:lvl>
    <w:lvl w:ilvl="8" w:tplc="55A039E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1094837"/>
    <w:multiLevelType w:val="hybridMultilevel"/>
    <w:tmpl w:val="2BD288BC"/>
    <w:lvl w:ilvl="0" w:tplc="063229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B90443"/>
    <w:multiLevelType w:val="multilevel"/>
    <w:tmpl w:val="3CA2824A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3F266B2"/>
    <w:multiLevelType w:val="hybridMultilevel"/>
    <w:tmpl w:val="EB361B2C"/>
    <w:lvl w:ilvl="0" w:tplc="E1A63B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73FA06B0"/>
    <w:multiLevelType w:val="hybridMultilevel"/>
    <w:tmpl w:val="A3CE8988"/>
    <w:lvl w:ilvl="0" w:tplc="8B443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7B7588"/>
    <w:multiLevelType w:val="hybridMultilevel"/>
    <w:tmpl w:val="847634AE"/>
    <w:lvl w:ilvl="0" w:tplc="6E12307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5017E67"/>
    <w:multiLevelType w:val="hybridMultilevel"/>
    <w:tmpl w:val="1DB40AA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95804EF"/>
    <w:multiLevelType w:val="hybridMultilevel"/>
    <w:tmpl w:val="37B0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9D5B17"/>
    <w:multiLevelType w:val="hybridMultilevel"/>
    <w:tmpl w:val="4B568CA4"/>
    <w:lvl w:ilvl="0" w:tplc="7E3C4A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B43172F"/>
    <w:multiLevelType w:val="hybridMultilevel"/>
    <w:tmpl w:val="37EA55E4"/>
    <w:lvl w:ilvl="0" w:tplc="B150D2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B856896"/>
    <w:multiLevelType w:val="hybridMultilevel"/>
    <w:tmpl w:val="A19C827A"/>
    <w:lvl w:ilvl="0" w:tplc="BDFA987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495520"/>
    <w:multiLevelType w:val="hybridMultilevel"/>
    <w:tmpl w:val="E026D348"/>
    <w:lvl w:ilvl="0" w:tplc="EAE62F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ECB7E29"/>
    <w:multiLevelType w:val="hybridMultilevel"/>
    <w:tmpl w:val="AF9EE208"/>
    <w:lvl w:ilvl="0" w:tplc="E288FD80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5"/>
  </w:num>
  <w:num w:numId="2">
    <w:abstractNumId w:val="38"/>
  </w:num>
  <w:num w:numId="3">
    <w:abstractNumId w:val="17"/>
  </w:num>
  <w:num w:numId="4">
    <w:abstractNumId w:val="20"/>
  </w:num>
  <w:num w:numId="5">
    <w:abstractNumId w:val="7"/>
  </w:num>
  <w:num w:numId="6">
    <w:abstractNumId w:val="2"/>
  </w:num>
  <w:num w:numId="7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2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3"/>
  </w:num>
  <w:num w:numId="19">
    <w:abstractNumId w:val="0"/>
  </w:num>
  <w:num w:numId="20">
    <w:abstractNumId w:val="25"/>
  </w:num>
  <w:num w:numId="21">
    <w:abstractNumId w:val="9"/>
  </w:num>
  <w:num w:numId="22">
    <w:abstractNumId w:val="23"/>
  </w:num>
  <w:num w:numId="23">
    <w:abstractNumId w:val="42"/>
  </w:num>
  <w:num w:numId="24">
    <w:abstractNumId w:val="39"/>
  </w:num>
  <w:num w:numId="25">
    <w:abstractNumId w:val="22"/>
  </w:num>
  <w:num w:numId="26">
    <w:abstractNumId w:val="15"/>
  </w:num>
  <w:num w:numId="27">
    <w:abstractNumId w:val="21"/>
  </w:num>
  <w:num w:numId="28">
    <w:abstractNumId w:val="18"/>
  </w:num>
  <w:num w:numId="29">
    <w:abstractNumId w:val="36"/>
  </w:num>
  <w:num w:numId="30">
    <w:abstractNumId w:val="27"/>
  </w:num>
  <w:num w:numId="31">
    <w:abstractNumId w:val="16"/>
  </w:num>
  <w:num w:numId="32">
    <w:abstractNumId w:val="31"/>
  </w:num>
  <w:num w:numId="33">
    <w:abstractNumId w:val="30"/>
  </w:num>
  <w:num w:numId="34">
    <w:abstractNumId w:val="40"/>
  </w:num>
  <w:num w:numId="35">
    <w:abstractNumId w:val="43"/>
  </w:num>
  <w:num w:numId="36">
    <w:abstractNumId w:val="28"/>
  </w:num>
  <w:num w:numId="37">
    <w:abstractNumId w:val="37"/>
  </w:num>
  <w:num w:numId="38">
    <w:abstractNumId w:val="8"/>
  </w:num>
  <w:num w:numId="39">
    <w:abstractNumId w:val="5"/>
  </w:num>
  <w:num w:numId="40">
    <w:abstractNumId w:val="19"/>
  </w:num>
  <w:num w:numId="41">
    <w:abstractNumId w:val="29"/>
  </w:num>
  <w:num w:numId="42">
    <w:abstractNumId w:val="13"/>
  </w:num>
  <w:num w:numId="43">
    <w:abstractNumId w:val="1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A2"/>
    <w:rsid w:val="000043C4"/>
    <w:rsid w:val="000320F1"/>
    <w:rsid w:val="00041C1A"/>
    <w:rsid w:val="000556E6"/>
    <w:rsid w:val="00070925"/>
    <w:rsid w:val="00070D5A"/>
    <w:rsid w:val="00075FF4"/>
    <w:rsid w:val="0008119B"/>
    <w:rsid w:val="00095638"/>
    <w:rsid w:val="000C46E0"/>
    <w:rsid w:val="000C5254"/>
    <w:rsid w:val="000D490E"/>
    <w:rsid w:val="000E721E"/>
    <w:rsid w:val="000F7668"/>
    <w:rsid w:val="0011485C"/>
    <w:rsid w:val="00115F2E"/>
    <w:rsid w:val="001230F0"/>
    <w:rsid w:val="00126C57"/>
    <w:rsid w:val="00131D49"/>
    <w:rsid w:val="001349AB"/>
    <w:rsid w:val="00164687"/>
    <w:rsid w:val="00177FAC"/>
    <w:rsid w:val="00181C0F"/>
    <w:rsid w:val="00182605"/>
    <w:rsid w:val="00185BF7"/>
    <w:rsid w:val="001A3905"/>
    <w:rsid w:val="001C5F36"/>
    <w:rsid w:val="001D2DB7"/>
    <w:rsid w:val="001D45F6"/>
    <w:rsid w:val="001E040F"/>
    <w:rsid w:val="001E1318"/>
    <w:rsid w:val="001F7DAF"/>
    <w:rsid w:val="00201DA3"/>
    <w:rsid w:val="00204A59"/>
    <w:rsid w:val="0020646C"/>
    <w:rsid w:val="00211FA1"/>
    <w:rsid w:val="00215D07"/>
    <w:rsid w:val="00221926"/>
    <w:rsid w:val="00225A9A"/>
    <w:rsid w:val="00232282"/>
    <w:rsid w:val="00233EAB"/>
    <w:rsid w:val="00234580"/>
    <w:rsid w:val="00252763"/>
    <w:rsid w:val="00260BBB"/>
    <w:rsid w:val="00264616"/>
    <w:rsid w:val="00273E70"/>
    <w:rsid w:val="0029274B"/>
    <w:rsid w:val="002A663E"/>
    <w:rsid w:val="002C31C3"/>
    <w:rsid w:val="002C3931"/>
    <w:rsid w:val="002C64A9"/>
    <w:rsid w:val="002D147F"/>
    <w:rsid w:val="003074DB"/>
    <w:rsid w:val="00310255"/>
    <w:rsid w:val="00325350"/>
    <w:rsid w:val="00341842"/>
    <w:rsid w:val="00343B2D"/>
    <w:rsid w:val="00356CF9"/>
    <w:rsid w:val="0039084C"/>
    <w:rsid w:val="00396879"/>
    <w:rsid w:val="003A168B"/>
    <w:rsid w:val="003B25E1"/>
    <w:rsid w:val="003C2375"/>
    <w:rsid w:val="00403BE9"/>
    <w:rsid w:val="00413BBA"/>
    <w:rsid w:val="00436DE7"/>
    <w:rsid w:val="00446B1C"/>
    <w:rsid w:val="004551A8"/>
    <w:rsid w:val="00482114"/>
    <w:rsid w:val="00497B84"/>
    <w:rsid w:val="004B04D0"/>
    <w:rsid w:val="004B475D"/>
    <w:rsid w:val="004B6071"/>
    <w:rsid w:val="004B7319"/>
    <w:rsid w:val="004C56B4"/>
    <w:rsid w:val="004D04DD"/>
    <w:rsid w:val="004E0678"/>
    <w:rsid w:val="004E27E6"/>
    <w:rsid w:val="004F2F3C"/>
    <w:rsid w:val="00505781"/>
    <w:rsid w:val="0050658D"/>
    <w:rsid w:val="00513329"/>
    <w:rsid w:val="00531087"/>
    <w:rsid w:val="00532027"/>
    <w:rsid w:val="005331BE"/>
    <w:rsid w:val="005338D3"/>
    <w:rsid w:val="00537E51"/>
    <w:rsid w:val="005467A2"/>
    <w:rsid w:val="0055749C"/>
    <w:rsid w:val="0056224D"/>
    <w:rsid w:val="0057573A"/>
    <w:rsid w:val="005759C5"/>
    <w:rsid w:val="00584E89"/>
    <w:rsid w:val="00590573"/>
    <w:rsid w:val="005A6BB3"/>
    <w:rsid w:val="005A6DB9"/>
    <w:rsid w:val="005A7735"/>
    <w:rsid w:val="005A7877"/>
    <w:rsid w:val="005C3DEC"/>
    <w:rsid w:val="005D43E8"/>
    <w:rsid w:val="005D6DC3"/>
    <w:rsid w:val="005F6CC4"/>
    <w:rsid w:val="00615BE1"/>
    <w:rsid w:val="00615CB4"/>
    <w:rsid w:val="00625F47"/>
    <w:rsid w:val="00647FC7"/>
    <w:rsid w:val="006763AB"/>
    <w:rsid w:val="006A0488"/>
    <w:rsid w:val="006A1B1E"/>
    <w:rsid w:val="006B21F0"/>
    <w:rsid w:val="006B3F65"/>
    <w:rsid w:val="006C17BB"/>
    <w:rsid w:val="006D2D9A"/>
    <w:rsid w:val="006E002E"/>
    <w:rsid w:val="0070264A"/>
    <w:rsid w:val="007105E6"/>
    <w:rsid w:val="00720636"/>
    <w:rsid w:val="00754873"/>
    <w:rsid w:val="007557F5"/>
    <w:rsid w:val="00761740"/>
    <w:rsid w:val="00777CB1"/>
    <w:rsid w:val="007815AE"/>
    <w:rsid w:val="007826F3"/>
    <w:rsid w:val="007A238F"/>
    <w:rsid w:val="007D1471"/>
    <w:rsid w:val="007E44BF"/>
    <w:rsid w:val="007E530A"/>
    <w:rsid w:val="007F2BA6"/>
    <w:rsid w:val="007F6937"/>
    <w:rsid w:val="00820A6D"/>
    <w:rsid w:val="00822FC4"/>
    <w:rsid w:val="00857AF4"/>
    <w:rsid w:val="00861185"/>
    <w:rsid w:val="00875BC9"/>
    <w:rsid w:val="00880839"/>
    <w:rsid w:val="00897726"/>
    <w:rsid w:val="008A21D4"/>
    <w:rsid w:val="008B6835"/>
    <w:rsid w:val="008C4A3C"/>
    <w:rsid w:val="008F22E1"/>
    <w:rsid w:val="008F2D25"/>
    <w:rsid w:val="008F5186"/>
    <w:rsid w:val="008F6863"/>
    <w:rsid w:val="00905146"/>
    <w:rsid w:val="0095070C"/>
    <w:rsid w:val="009549D4"/>
    <w:rsid w:val="00964264"/>
    <w:rsid w:val="00966338"/>
    <w:rsid w:val="00990CB2"/>
    <w:rsid w:val="0099186E"/>
    <w:rsid w:val="00992FEB"/>
    <w:rsid w:val="00995ECC"/>
    <w:rsid w:val="009E1196"/>
    <w:rsid w:val="00A142A2"/>
    <w:rsid w:val="00A14B2A"/>
    <w:rsid w:val="00A17204"/>
    <w:rsid w:val="00A350CB"/>
    <w:rsid w:val="00A423F6"/>
    <w:rsid w:val="00A4277B"/>
    <w:rsid w:val="00A446BD"/>
    <w:rsid w:val="00A641A0"/>
    <w:rsid w:val="00A74AB0"/>
    <w:rsid w:val="00AD1332"/>
    <w:rsid w:val="00AE080E"/>
    <w:rsid w:val="00B01BC1"/>
    <w:rsid w:val="00B025D0"/>
    <w:rsid w:val="00B077C0"/>
    <w:rsid w:val="00B221FE"/>
    <w:rsid w:val="00B26C57"/>
    <w:rsid w:val="00B31BB4"/>
    <w:rsid w:val="00B4213F"/>
    <w:rsid w:val="00B46377"/>
    <w:rsid w:val="00B73A26"/>
    <w:rsid w:val="00B82571"/>
    <w:rsid w:val="00B92AF5"/>
    <w:rsid w:val="00B92F6E"/>
    <w:rsid w:val="00B97A11"/>
    <w:rsid w:val="00BA1FCD"/>
    <w:rsid w:val="00BC08B5"/>
    <w:rsid w:val="00BC4CFF"/>
    <w:rsid w:val="00BD6052"/>
    <w:rsid w:val="00BE16F2"/>
    <w:rsid w:val="00BE22BD"/>
    <w:rsid w:val="00BE3F53"/>
    <w:rsid w:val="00BE4B8E"/>
    <w:rsid w:val="00C07D5A"/>
    <w:rsid w:val="00C3239B"/>
    <w:rsid w:val="00C46175"/>
    <w:rsid w:val="00C46A9D"/>
    <w:rsid w:val="00C5251E"/>
    <w:rsid w:val="00C56789"/>
    <w:rsid w:val="00C613FD"/>
    <w:rsid w:val="00C71E2B"/>
    <w:rsid w:val="00C84133"/>
    <w:rsid w:val="00CB4F67"/>
    <w:rsid w:val="00CB7260"/>
    <w:rsid w:val="00CB75DF"/>
    <w:rsid w:val="00CD52FA"/>
    <w:rsid w:val="00CE3213"/>
    <w:rsid w:val="00CF35A8"/>
    <w:rsid w:val="00D1291B"/>
    <w:rsid w:val="00D20C6E"/>
    <w:rsid w:val="00D22078"/>
    <w:rsid w:val="00D2764F"/>
    <w:rsid w:val="00D56A80"/>
    <w:rsid w:val="00D759EA"/>
    <w:rsid w:val="00D80372"/>
    <w:rsid w:val="00D9234C"/>
    <w:rsid w:val="00DA1480"/>
    <w:rsid w:val="00DB4547"/>
    <w:rsid w:val="00DC5E8A"/>
    <w:rsid w:val="00DD763C"/>
    <w:rsid w:val="00DE0B4A"/>
    <w:rsid w:val="00E2024B"/>
    <w:rsid w:val="00E309AB"/>
    <w:rsid w:val="00E37902"/>
    <w:rsid w:val="00E50320"/>
    <w:rsid w:val="00E506D7"/>
    <w:rsid w:val="00E75347"/>
    <w:rsid w:val="00E818E2"/>
    <w:rsid w:val="00E84D04"/>
    <w:rsid w:val="00E97001"/>
    <w:rsid w:val="00EA2035"/>
    <w:rsid w:val="00EC34A1"/>
    <w:rsid w:val="00EE5078"/>
    <w:rsid w:val="00EF4CAE"/>
    <w:rsid w:val="00EF6D0F"/>
    <w:rsid w:val="00F10BA1"/>
    <w:rsid w:val="00F13BF6"/>
    <w:rsid w:val="00F47B4B"/>
    <w:rsid w:val="00F62429"/>
    <w:rsid w:val="00F731F8"/>
    <w:rsid w:val="00F81BB4"/>
    <w:rsid w:val="00FB471D"/>
    <w:rsid w:val="00FC12AE"/>
    <w:rsid w:val="00FC3E4F"/>
    <w:rsid w:val="00FC782C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CC5B-53D8-41DC-9730-4DF71557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3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37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rsid w:val="00D803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0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0372"/>
  </w:style>
  <w:style w:type="table" w:styleId="a6">
    <w:name w:val="Table Grid"/>
    <w:basedOn w:val="a1"/>
    <w:rsid w:val="00D8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D803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80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 Знак,Знак"/>
    <w:basedOn w:val="a"/>
    <w:link w:val="aa"/>
    <w:rsid w:val="00D80372"/>
    <w:pPr>
      <w:spacing w:after="120"/>
    </w:pPr>
  </w:style>
  <w:style w:type="character" w:customStyle="1" w:styleId="aa">
    <w:name w:val="Основной текст Знак"/>
    <w:aliases w:val=" Знак Знак,Знак Знак"/>
    <w:basedOn w:val="a0"/>
    <w:link w:val="a9"/>
    <w:rsid w:val="00D80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D803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803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80372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D803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0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803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0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D80372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styleId="ad">
    <w:name w:val="Body Text Indent"/>
    <w:basedOn w:val="a"/>
    <w:link w:val="ae"/>
    <w:rsid w:val="00D8037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80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D80372"/>
    <w:pPr>
      <w:suppressAutoHyphens/>
      <w:ind w:right="-96" w:firstLine="567"/>
      <w:jc w:val="center"/>
    </w:pPr>
    <w:rPr>
      <w:rFonts w:eastAsia="Arial"/>
      <w:b/>
      <w:sz w:val="28"/>
      <w:szCs w:val="20"/>
      <w:lang w:eastAsia="ar-SA"/>
    </w:rPr>
  </w:style>
  <w:style w:type="paragraph" w:customStyle="1" w:styleId="ConsNonformat">
    <w:name w:val="ConsNonformat"/>
    <w:rsid w:val="00D8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Arial CYR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D80372"/>
    <w:pPr>
      <w:spacing w:before="100" w:beforeAutospacing="1" w:after="100" w:afterAutospacing="1"/>
    </w:pPr>
  </w:style>
  <w:style w:type="character" w:customStyle="1" w:styleId="af0">
    <w:name w:val="Гипертекстовая ссылка"/>
    <w:uiPriority w:val="99"/>
    <w:rsid w:val="00D80372"/>
    <w:rPr>
      <w:color w:val="106BBE"/>
    </w:rPr>
  </w:style>
  <w:style w:type="character" w:customStyle="1" w:styleId="af1">
    <w:name w:val="Цветовое выделение"/>
    <w:uiPriority w:val="99"/>
    <w:rsid w:val="00D80372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8037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7"/>
      <c:rotY val="20"/>
      <c:depthPercent val="15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4193548387096769E-2"/>
          <c:y val="4.2654028436018961E-2"/>
          <c:w val="0.9258064516129032"/>
          <c:h val="0.672985781990521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999FF" mc:Ignorable="a14" a14:legacySpreadsheetColorIndex="24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факт 2020г.</c:v>
                </c:pt>
                <c:pt idx="1">
                  <c:v>оценка 2021г. </c:v>
                </c:pt>
                <c:pt idx="2">
                  <c:v>проект 2022г</c:v>
                </c:pt>
                <c:pt idx="3">
                  <c:v>прогноз 2023г.</c:v>
                </c:pt>
                <c:pt idx="4">
                  <c:v>прогноз 2024г.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4597.7</c:v>
                </c:pt>
                <c:pt idx="1">
                  <c:v>3675.5</c:v>
                </c:pt>
                <c:pt idx="2">
                  <c:v>3572.9</c:v>
                </c:pt>
                <c:pt idx="3">
                  <c:v>3635.6</c:v>
                </c:pt>
                <c:pt idx="4">
                  <c:v>3739.4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80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факт 2020г.</c:v>
                </c:pt>
                <c:pt idx="1">
                  <c:v>оценка 2021г. </c:v>
                </c:pt>
                <c:pt idx="2">
                  <c:v>проект 2022г</c:v>
                </c:pt>
                <c:pt idx="3">
                  <c:v>прогноз 2023г.</c:v>
                </c:pt>
                <c:pt idx="4">
                  <c:v>прогноз 2024г.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163.19999999999999</c:v>
                </c:pt>
                <c:pt idx="1">
                  <c:v>58.9</c:v>
                </c:pt>
                <c:pt idx="2">
                  <c:v>74.900000000000006</c:v>
                </c:pt>
                <c:pt idx="3">
                  <c:v>75.400000000000006</c:v>
                </c:pt>
                <c:pt idx="4">
                  <c:v>75.400000000000006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 </c:v>
                </c:pt>
              </c:strCache>
            </c:strRef>
          </c:tx>
          <c:spPr>
            <a:solidFill>
              <a:srgbClr val="CC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факт 2020г.</c:v>
                </c:pt>
                <c:pt idx="1">
                  <c:v>оценка 2021г. </c:v>
                </c:pt>
                <c:pt idx="2">
                  <c:v>проект 2022г</c:v>
                </c:pt>
                <c:pt idx="3">
                  <c:v>прогноз 2023г.</c:v>
                </c:pt>
                <c:pt idx="4">
                  <c:v>прогноз 2024г.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9174.6</c:v>
                </c:pt>
                <c:pt idx="1">
                  <c:v>28078</c:v>
                </c:pt>
                <c:pt idx="2">
                  <c:v>8814</c:v>
                </c:pt>
                <c:pt idx="3">
                  <c:v>6003.7</c:v>
                </c:pt>
                <c:pt idx="4">
                  <c:v>12172.3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60"/>
        <c:shape val="box"/>
        <c:axId val="176578968"/>
        <c:axId val="176578184"/>
        <c:axId val="0"/>
      </c:bar3DChart>
      <c:catAx>
        <c:axId val="176578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578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657818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65789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4677419354838708"/>
          <c:y val="0.87677725118483407"/>
          <c:w val="0.68387096774193545"/>
          <c:h val="0.1090047393364928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2021г.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Общегос. расходы</c:v>
                </c:pt>
                <c:pt idx="1">
                  <c:v>Нац.оборона</c:v>
                </c:pt>
                <c:pt idx="2">
                  <c:v>Нац.безопасн.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Соц.политика</c:v>
                </c:pt>
                <c:pt idx="8">
                  <c:v>Физ. культура</c:v>
                </c:pt>
                <c:pt idx="9">
                  <c:v>МБТ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5426.3</c:v>
                </c:pt>
                <c:pt idx="1">
                  <c:v>137.30000000000001</c:v>
                </c:pt>
                <c:pt idx="2">
                  <c:v>40</c:v>
                </c:pt>
                <c:pt idx="3">
                  <c:v>3172.4</c:v>
                </c:pt>
                <c:pt idx="4">
                  <c:v>3474.4</c:v>
                </c:pt>
                <c:pt idx="5">
                  <c:v>34</c:v>
                </c:pt>
                <c:pt idx="6">
                  <c:v>21486.5</c:v>
                </c:pt>
                <c:pt idx="7">
                  <c:v>293.8</c:v>
                </c:pt>
                <c:pt idx="8">
                  <c:v>55</c:v>
                </c:pt>
                <c:pt idx="9">
                  <c:v>568.70000000000005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Проек 2022г.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Общегос. расходы</c:v>
                </c:pt>
                <c:pt idx="1">
                  <c:v>Нац.оборона</c:v>
                </c:pt>
                <c:pt idx="2">
                  <c:v>Нац.безопасн.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Соц.политика</c:v>
                </c:pt>
                <c:pt idx="8">
                  <c:v>Физ. культура</c:v>
                </c:pt>
                <c:pt idx="9">
                  <c:v>МБТ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4341.7</c:v>
                </c:pt>
                <c:pt idx="1">
                  <c:v>143.4</c:v>
                </c:pt>
                <c:pt idx="2">
                  <c:v>40</c:v>
                </c:pt>
                <c:pt idx="3">
                  <c:v>1274.7</c:v>
                </c:pt>
                <c:pt idx="4">
                  <c:v>1500.4</c:v>
                </c:pt>
                <c:pt idx="5">
                  <c:v>34</c:v>
                </c:pt>
                <c:pt idx="6">
                  <c:v>4076.6</c:v>
                </c:pt>
                <c:pt idx="7">
                  <c:v>293.8</c:v>
                </c:pt>
                <c:pt idx="8">
                  <c:v>155</c:v>
                </c:pt>
                <c:pt idx="9">
                  <c:v>602.20000000000005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Общегос. расходы</c:v>
                </c:pt>
                <c:pt idx="1">
                  <c:v>Нац.оборона</c:v>
                </c:pt>
                <c:pt idx="2">
                  <c:v>Нац.безопасн.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Соц.политика</c:v>
                </c:pt>
                <c:pt idx="8">
                  <c:v>Физ. культура</c:v>
                </c:pt>
                <c:pt idx="9">
                  <c:v>МБТ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6577400"/>
        <c:axId val="176839824"/>
        <c:axId val="0"/>
      </c:bar3DChart>
      <c:catAx>
        <c:axId val="176577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39824"/>
        <c:crosses val="autoZero"/>
        <c:auto val="1"/>
        <c:lblAlgn val="ctr"/>
        <c:lblOffset val="100"/>
        <c:noMultiLvlLbl val="0"/>
      </c:catAx>
      <c:valAx>
        <c:axId val="176839824"/>
        <c:scaling>
          <c:orientation val="minMax"/>
          <c:max val="67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6577400"/>
        <c:crosses val="autoZero"/>
        <c:crossBetween val="between"/>
        <c:majorUnit val="500"/>
      </c:valAx>
      <c:spPr>
        <a:noFill/>
        <a:ln w="25325">
          <a:noFill/>
        </a:ln>
      </c:spPr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10DA-3377-47D4-8DA0-694A99C9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14</Pages>
  <Words>6579</Words>
  <Characters>37505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2021-11-23T07:33:00Z</cp:lastPrinted>
  <dcterms:created xsi:type="dcterms:W3CDTF">2020-12-11T00:21:00Z</dcterms:created>
  <dcterms:modified xsi:type="dcterms:W3CDTF">2021-11-25T00:27:00Z</dcterms:modified>
</cp:coreProperties>
</file>