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3D81" w14:textId="77777777" w:rsidR="00D80372" w:rsidRDefault="00D80372" w:rsidP="00D8037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CCD638B" w14:textId="77777777" w:rsidR="00D80372" w:rsidRDefault="00D80372" w:rsidP="00D8037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14:paraId="3E7091A1" w14:textId="77777777" w:rsidR="00D80372" w:rsidRDefault="00D80372" w:rsidP="00D8037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14:paraId="7F8FA7EC" w14:textId="77777777" w:rsidR="00D80372" w:rsidRDefault="00D80372" w:rsidP="00D8037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КУЙТУНСКИЙ РАЙОН</w:t>
      </w:r>
    </w:p>
    <w:p w14:paraId="452A1227" w14:textId="77777777" w:rsidR="00D80372" w:rsidRDefault="00D80372" w:rsidP="00D80372">
      <w:pPr>
        <w:ind w:right="-365"/>
        <w:jc w:val="center"/>
        <w:rPr>
          <w:b/>
          <w:sz w:val="28"/>
          <w:szCs w:val="28"/>
        </w:rPr>
      </w:pPr>
    </w:p>
    <w:p w14:paraId="7A074119" w14:textId="1788EE54" w:rsidR="00D80372" w:rsidRPr="002424E7" w:rsidRDefault="00D80372" w:rsidP="00D80372">
      <w:pPr>
        <w:ind w:left="360"/>
        <w:jc w:val="center"/>
        <w:rPr>
          <w:b/>
        </w:rPr>
      </w:pPr>
      <w:r w:rsidRPr="00944969">
        <w:rPr>
          <w:b/>
        </w:rPr>
        <w:t xml:space="preserve">Заключение КСП </w:t>
      </w:r>
      <w:r w:rsidRPr="00C9034D">
        <w:rPr>
          <w:b/>
        </w:rPr>
        <w:t xml:space="preserve">№ </w:t>
      </w:r>
      <w:r w:rsidR="002C3931">
        <w:rPr>
          <w:b/>
        </w:rPr>
        <w:t>2</w:t>
      </w:r>
      <w:r w:rsidR="00211D12">
        <w:rPr>
          <w:b/>
        </w:rPr>
        <w:t>8</w:t>
      </w:r>
    </w:p>
    <w:p w14:paraId="0359619C" w14:textId="434D30AF" w:rsidR="00D80372" w:rsidRPr="00026C14" w:rsidRDefault="00D80372" w:rsidP="00D80372">
      <w:pPr>
        <w:jc w:val="center"/>
        <w:rPr>
          <w:b/>
        </w:rPr>
      </w:pPr>
      <w:r w:rsidRPr="00944969">
        <w:rPr>
          <w:b/>
          <w:color w:val="FF0000"/>
        </w:rPr>
        <w:t xml:space="preserve"> </w:t>
      </w:r>
      <w:r w:rsidRPr="00026C14">
        <w:rPr>
          <w:b/>
        </w:rPr>
        <w:t xml:space="preserve">по результатам экспертизы проекта бюджета </w:t>
      </w:r>
      <w:r>
        <w:rPr>
          <w:b/>
        </w:rPr>
        <w:t>Каразейского</w:t>
      </w:r>
      <w:r w:rsidRPr="00026C14">
        <w:rPr>
          <w:b/>
        </w:rPr>
        <w:t xml:space="preserve">  </w:t>
      </w:r>
    </w:p>
    <w:p w14:paraId="17024529" w14:textId="5C429300" w:rsidR="00D80372" w:rsidRPr="00026C14" w:rsidRDefault="00D80372" w:rsidP="00D80372">
      <w:pPr>
        <w:ind w:left="-567" w:right="-285"/>
        <w:jc w:val="center"/>
        <w:rPr>
          <w:b/>
        </w:rPr>
      </w:pPr>
      <w:r>
        <w:rPr>
          <w:b/>
        </w:rPr>
        <w:t>муниципального образования</w:t>
      </w:r>
      <w:r w:rsidRPr="00026C14">
        <w:rPr>
          <w:b/>
        </w:rPr>
        <w:t xml:space="preserve"> на </w:t>
      </w:r>
      <w:r w:rsidR="000E76FA">
        <w:rPr>
          <w:b/>
        </w:rPr>
        <w:t>2023</w:t>
      </w:r>
      <w:r w:rsidRPr="00026C14">
        <w:rPr>
          <w:b/>
        </w:rPr>
        <w:t xml:space="preserve"> год </w:t>
      </w:r>
      <w:r>
        <w:rPr>
          <w:b/>
        </w:rPr>
        <w:t xml:space="preserve">и плановый период </w:t>
      </w:r>
      <w:r w:rsidR="000E76FA">
        <w:rPr>
          <w:b/>
        </w:rPr>
        <w:t>2024</w:t>
      </w:r>
      <w:r>
        <w:rPr>
          <w:b/>
        </w:rPr>
        <w:t xml:space="preserve"> и </w:t>
      </w:r>
      <w:r w:rsidR="000E76FA">
        <w:rPr>
          <w:b/>
        </w:rPr>
        <w:t>2025</w:t>
      </w:r>
      <w:r>
        <w:rPr>
          <w:b/>
        </w:rPr>
        <w:t xml:space="preserve"> годов.</w:t>
      </w:r>
    </w:p>
    <w:p w14:paraId="4D24052B" w14:textId="77777777" w:rsidR="00D80372" w:rsidRPr="00026C14" w:rsidRDefault="00D80372" w:rsidP="00D80372">
      <w:pPr>
        <w:ind w:left="360"/>
        <w:jc w:val="center"/>
        <w:rPr>
          <w:color w:val="FF0000"/>
        </w:rPr>
      </w:pPr>
    </w:p>
    <w:p w14:paraId="79E72333" w14:textId="2AC4BFC9" w:rsidR="00D80372" w:rsidRPr="00026C14" w:rsidRDefault="00D80372" w:rsidP="00D80372">
      <w:pPr>
        <w:jc w:val="both"/>
      </w:pPr>
      <w:r w:rsidRPr="00026C14">
        <w:t xml:space="preserve">р.п. Куйтун                                                                                                    </w:t>
      </w:r>
      <w:r>
        <w:t xml:space="preserve">     </w:t>
      </w:r>
      <w:r w:rsidR="00396879">
        <w:t>1</w:t>
      </w:r>
      <w:r w:rsidR="00EB1E96">
        <w:t>7</w:t>
      </w:r>
      <w:r w:rsidR="000C5254">
        <w:t xml:space="preserve"> ноября</w:t>
      </w:r>
      <w:r w:rsidRPr="00026C14">
        <w:t xml:space="preserve"> </w:t>
      </w:r>
      <w:r w:rsidR="000C5254">
        <w:t>202</w:t>
      </w:r>
      <w:r w:rsidR="000E76FA">
        <w:t>2</w:t>
      </w:r>
      <w:r w:rsidRPr="00026C14">
        <w:t xml:space="preserve"> г.</w:t>
      </w:r>
    </w:p>
    <w:p w14:paraId="333E60E7" w14:textId="77777777" w:rsidR="00D80372" w:rsidRDefault="00D80372" w:rsidP="00D80372">
      <w:pPr>
        <w:ind w:left="360"/>
        <w:jc w:val="center"/>
        <w:rPr>
          <w:b/>
        </w:rPr>
      </w:pPr>
      <w:r w:rsidRPr="00026C14">
        <w:rPr>
          <w:b/>
        </w:rPr>
        <w:t>1. Общее положение</w:t>
      </w:r>
    </w:p>
    <w:p w14:paraId="7B183DAE" w14:textId="7AF0EDCA" w:rsidR="00D80372" w:rsidRPr="00A441D3" w:rsidRDefault="00D80372" w:rsidP="00D80372">
      <w:pPr>
        <w:ind w:firstLine="567"/>
        <w:jc w:val="both"/>
      </w:pPr>
      <w:r w:rsidRPr="00A441D3">
        <w:t xml:space="preserve">Заключение КСП по результатам экспертизы проекта бюджета </w:t>
      </w:r>
      <w:r>
        <w:t>Каразейского</w:t>
      </w:r>
      <w:r w:rsidRPr="00A441D3">
        <w:t xml:space="preserve">  </w:t>
      </w:r>
      <w:r>
        <w:t>муниципального образования</w:t>
      </w:r>
      <w:r w:rsidRPr="00A441D3">
        <w:t xml:space="preserve">  на </w:t>
      </w:r>
      <w:r w:rsidR="000E76FA">
        <w:t>2023</w:t>
      </w:r>
      <w:r w:rsidRPr="00A441D3">
        <w:t xml:space="preserve"> год</w:t>
      </w:r>
      <w:r>
        <w:t xml:space="preserve"> и плановый период </w:t>
      </w:r>
      <w:r w:rsidR="000E76FA">
        <w:t>2024</w:t>
      </w:r>
      <w:r w:rsidR="000C5254">
        <w:t xml:space="preserve"> и </w:t>
      </w:r>
      <w:r w:rsidR="000E76FA">
        <w:t>2025</w:t>
      </w:r>
      <w:r>
        <w:t xml:space="preserve"> годов</w:t>
      </w:r>
      <w:r w:rsidRPr="00A441D3">
        <w:t xml:space="preserve"> </w:t>
      </w:r>
      <w:r>
        <w:t xml:space="preserve">(далее – Проект, проект бюджета) </w:t>
      </w:r>
      <w:r w:rsidRPr="00A441D3">
        <w:t xml:space="preserve">подготовлено  в соответствии  с </w:t>
      </w:r>
      <w:r>
        <w:t>бюджетными полномочиями Контрольно-счетной палаты района, определенными</w:t>
      </w:r>
      <w:r w:rsidRPr="00A441D3">
        <w:t xml:space="preserve"> п. 2 ст. 157 Бюджетного кодекса Российской Федерации</w:t>
      </w:r>
      <w:r>
        <w:t xml:space="preserve"> (далее – БК РФ)</w:t>
      </w:r>
      <w:r w:rsidRPr="00A441D3">
        <w:t xml:space="preserve">, </w:t>
      </w:r>
      <w:r>
        <w:t xml:space="preserve">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Каразейского МО «Об утверждении положения о бюджетном процессе в Каразейском МО», </w:t>
      </w:r>
      <w:r w:rsidRPr="00A441D3">
        <w:t>Соглашением о передаче полномочий по организации осуществления внешнего</w:t>
      </w:r>
      <w:r w:rsidRPr="00A441D3">
        <w:rPr>
          <w:sz w:val="20"/>
          <w:szCs w:val="20"/>
        </w:rPr>
        <w:t xml:space="preserve"> </w:t>
      </w:r>
      <w:r w:rsidRPr="00A441D3">
        <w:t xml:space="preserve">муниципального финансового контроля в </w:t>
      </w:r>
      <w:r>
        <w:t>Каразей</w:t>
      </w:r>
      <w:r w:rsidRPr="00A441D3">
        <w:t>ском муниципальном образовании на 20</w:t>
      </w:r>
      <w:r>
        <w:t>20</w:t>
      </w:r>
      <w:r w:rsidRPr="00A441D3">
        <w:t xml:space="preserve">год и плановый период </w:t>
      </w:r>
      <w:r>
        <w:t xml:space="preserve">2021 </w:t>
      </w:r>
      <w:r w:rsidRPr="00A441D3">
        <w:t xml:space="preserve">и </w:t>
      </w:r>
      <w:r w:rsidR="000E76FA">
        <w:t>2022</w:t>
      </w:r>
      <w:r w:rsidR="00BD6052">
        <w:t xml:space="preserve"> </w:t>
      </w:r>
      <w:r w:rsidRPr="00A441D3">
        <w:t xml:space="preserve">годов,  планом работы </w:t>
      </w:r>
      <w:r>
        <w:t>КСП на 202</w:t>
      </w:r>
      <w:r w:rsidR="000E76FA">
        <w:t>2</w:t>
      </w:r>
      <w:r w:rsidRPr="00A441D3">
        <w:t>год.</w:t>
      </w:r>
    </w:p>
    <w:p w14:paraId="30E07F09" w14:textId="77777777" w:rsidR="000E76FA" w:rsidRDefault="000E76FA" w:rsidP="00D80372">
      <w:pPr>
        <w:ind w:firstLine="567"/>
        <w:jc w:val="both"/>
      </w:pPr>
      <w:r w:rsidRPr="000E76FA">
        <w:t xml:space="preserve">Целью экспертизы проекта бюджета является установление соответствия проекта бюджета требованиям, установленным бюджетным законодательством, в том числе обоснованности, целесообразности и достоверности показателей (параметров и характеристик) проекта бюджета на очередной финансовый год и на плановый период. </w:t>
      </w:r>
    </w:p>
    <w:p w14:paraId="4BE2B45D" w14:textId="6D6A9EB1" w:rsidR="000E76FA" w:rsidRDefault="000E76FA" w:rsidP="00D80372">
      <w:pPr>
        <w:ind w:firstLine="567"/>
        <w:jc w:val="both"/>
      </w:pPr>
      <w:r w:rsidRPr="000E76FA">
        <w:t xml:space="preserve">При составлении Заключения проверено наличие и оценено состояние нормативной и методической базы, регулирующей порядок формирования бюджета </w:t>
      </w:r>
      <w:r>
        <w:t>Каразей</w:t>
      </w:r>
      <w:r w:rsidRPr="000E76FA">
        <w:t>ского сельского поселения, параметров его основных показателей.</w:t>
      </w:r>
    </w:p>
    <w:p w14:paraId="50C1BC64" w14:textId="70C83694" w:rsidR="00D80372" w:rsidRDefault="00D80372" w:rsidP="00D80372">
      <w:pPr>
        <w:ind w:firstLine="567"/>
        <w:jc w:val="both"/>
      </w:pPr>
      <w:r w:rsidRPr="0070084B">
        <w:t xml:space="preserve">В соответствии </w:t>
      </w:r>
      <w:r w:rsidRPr="00E43ACD">
        <w:t xml:space="preserve">со </w:t>
      </w:r>
      <w:r w:rsidRPr="00E43AC7">
        <w:t>ст.12</w:t>
      </w:r>
      <w:r w:rsidRPr="0070084B">
        <w:t xml:space="preserve"> Положения «О бюджетном процессе в </w:t>
      </w:r>
      <w:r>
        <w:t>Каразей</w:t>
      </w:r>
      <w:r w:rsidRPr="0070084B">
        <w:t>ском муниципальном образовании» проект бюджета составлен на три года: очередной финансовый год (</w:t>
      </w:r>
      <w:r w:rsidR="000E76FA">
        <w:t>2023</w:t>
      </w:r>
      <w:r w:rsidRPr="0070084B">
        <w:t>г.) и плановый период (</w:t>
      </w:r>
      <w:r w:rsidR="000E76FA">
        <w:t>2024</w:t>
      </w:r>
      <w:r w:rsidRPr="0070084B">
        <w:t xml:space="preserve"> и </w:t>
      </w:r>
      <w:r w:rsidR="000E76FA">
        <w:t>2025</w:t>
      </w:r>
      <w:r w:rsidRPr="0070084B">
        <w:t>гг.). Проект бюджета сформирован непрограммным методом.</w:t>
      </w:r>
    </w:p>
    <w:p w14:paraId="33653BA5" w14:textId="5D76D076" w:rsidR="00F47B4B" w:rsidRPr="00F47B4B" w:rsidRDefault="00D80372" w:rsidP="00D80372">
      <w:pPr>
        <w:ind w:firstLine="567"/>
        <w:jc w:val="both"/>
      </w:pPr>
      <w:r>
        <w:t xml:space="preserve">Проект бюджета внесен на рассмотрение в Думу Каразейского муниципального образования в срок, </w:t>
      </w:r>
      <w:r w:rsidRPr="00597F5E">
        <w:t>установленный ст</w:t>
      </w:r>
      <w:r w:rsidRPr="00D015C9">
        <w:t>. 26 Положения</w:t>
      </w:r>
      <w:r w:rsidRPr="00597F5E">
        <w:t xml:space="preserve"> о бюджетном процессе</w:t>
      </w:r>
      <w:r w:rsidR="00E0149A">
        <w:t xml:space="preserve"> и ст.185 БК РФ</w:t>
      </w:r>
      <w:r w:rsidRPr="00597F5E">
        <w:t xml:space="preserve"> (не п</w:t>
      </w:r>
      <w:r>
        <w:t>озднее 15 ноября текущего года), постановлением администрации Каразейского МО от 1</w:t>
      </w:r>
      <w:r w:rsidR="00E0149A">
        <w:t>1</w:t>
      </w:r>
      <w:r>
        <w:t>.11.202</w:t>
      </w:r>
      <w:r w:rsidR="00E0149A">
        <w:t>2</w:t>
      </w:r>
      <w:r>
        <w:t xml:space="preserve">г. № </w:t>
      </w:r>
      <w:r w:rsidR="00F47B4B">
        <w:t>38</w:t>
      </w:r>
      <w:r>
        <w:t>.</w:t>
      </w:r>
      <w:r w:rsidRPr="00597F5E">
        <w:t xml:space="preserve"> </w:t>
      </w:r>
      <w:r>
        <w:t>С</w:t>
      </w:r>
      <w:r w:rsidRPr="0083080B">
        <w:t>татьей</w:t>
      </w:r>
      <w:r>
        <w:t xml:space="preserve"> 27 Положения о бюджетном процессе</w:t>
      </w:r>
      <w:r w:rsidRPr="0083080B">
        <w:t xml:space="preserve"> определено, что в течение суток со дня внесения проекта решения о бюджете в Думу председатель Думы направляет его в орган внешнего муниципального финансового контроля.</w:t>
      </w:r>
      <w:r>
        <w:t xml:space="preserve"> </w:t>
      </w:r>
      <w:r w:rsidRPr="00F47B4B">
        <w:t>Проект представлен в КСП 1</w:t>
      </w:r>
      <w:r w:rsidR="00E0149A">
        <w:t>4</w:t>
      </w:r>
      <w:r w:rsidRPr="00F47B4B">
        <w:t>.11.202</w:t>
      </w:r>
      <w:r w:rsidR="00E0149A">
        <w:t>2</w:t>
      </w:r>
      <w:r w:rsidR="00990CB2">
        <w:t xml:space="preserve"> года</w:t>
      </w:r>
      <w:r w:rsidR="00E0149A">
        <w:t>,</w:t>
      </w:r>
      <w:r w:rsidR="00E0149A" w:rsidRPr="00E0149A">
        <w:t xml:space="preserve"> </w:t>
      </w:r>
      <w:r w:rsidR="000C116D">
        <w:t>или</w:t>
      </w:r>
      <w:r w:rsidR="00E0149A" w:rsidRPr="00E0149A">
        <w:t xml:space="preserve"> с соблюдением сроков (</w:t>
      </w:r>
      <w:r w:rsidR="00E0149A">
        <w:t xml:space="preserve">12 и </w:t>
      </w:r>
      <w:r w:rsidR="00E0149A" w:rsidRPr="00E0149A">
        <w:t>1</w:t>
      </w:r>
      <w:r w:rsidR="00E0149A">
        <w:t>3</w:t>
      </w:r>
      <w:r w:rsidR="00E0149A" w:rsidRPr="00E0149A">
        <w:t xml:space="preserve"> ноября 202</w:t>
      </w:r>
      <w:r w:rsidR="00E0149A">
        <w:t>2</w:t>
      </w:r>
      <w:r w:rsidR="00E0149A" w:rsidRPr="00E0149A">
        <w:t xml:space="preserve">года – </w:t>
      </w:r>
      <w:r w:rsidR="00E0149A">
        <w:t>выходные дни</w:t>
      </w:r>
      <w:r w:rsidR="00E0149A" w:rsidRPr="00E0149A">
        <w:t xml:space="preserve">).  </w:t>
      </w:r>
    </w:p>
    <w:p w14:paraId="4DADF152" w14:textId="49204D3C" w:rsidR="00D80372" w:rsidRDefault="00D80372" w:rsidP="00D80372">
      <w:pPr>
        <w:ind w:firstLine="567"/>
        <w:jc w:val="both"/>
      </w:pPr>
      <w:r w:rsidRPr="00D015C9">
        <w:rPr>
          <w:b/>
        </w:rPr>
        <w:t xml:space="preserve"> </w:t>
      </w:r>
      <w:r w:rsidRPr="00E43ACD">
        <w:t xml:space="preserve">Статьей </w:t>
      </w:r>
      <w:r w:rsidRPr="00D015C9">
        <w:t>27</w:t>
      </w:r>
      <w:r w:rsidRPr="00E43ACD">
        <w:t xml:space="preserve"> Положения о бюджетном процессе установлено, что заключение</w:t>
      </w:r>
      <w:r>
        <w:t xml:space="preserve"> на проект бюджета подготавливается </w:t>
      </w:r>
      <w:r w:rsidRPr="00E43ACD">
        <w:t>в течение 20 календарных</w:t>
      </w:r>
      <w:r>
        <w:t xml:space="preserve"> дней. Настоящее заключение подготовлено </w:t>
      </w:r>
      <w:r w:rsidR="00396879" w:rsidRPr="00EB1E96">
        <w:t>1</w:t>
      </w:r>
      <w:r w:rsidR="00EB1E96" w:rsidRPr="00EB1E96">
        <w:t>7</w:t>
      </w:r>
      <w:r w:rsidRPr="00EB1E96">
        <w:t xml:space="preserve"> </w:t>
      </w:r>
      <w:r w:rsidR="00396879" w:rsidRPr="00EB1E96">
        <w:t>ноября 202</w:t>
      </w:r>
      <w:r w:rsidR="00EB1E96" w:rsidRPr="00EB1E96">
        <w:t>2</w:t>
      </w:r>
      <w:r w:rsidR="00396879" w:rsidRPr="00EB1E96">
        <w:t xml:space="preserve"> го</w:t>
      </w:r>
      <w:r w:rsidRPr="00EB1E96">
        <w:t xml:space="preserve">да, или в течение </w:t>
      </w:r>
      <w:r w:rsidR="00EB1E96" w:rsidRPr="00EB1E96">
        <w:t>4</w:t>
      </w:r>
      <w:r w:rsidR="00396879" w:rsidRPr="00EB1E96">
        <w:t xml:space="preserve"> </w:t>
      </w:r>
      <w:r w:rsidRPr="00EB1E96">
        <w:t>календарных дней.</w:t>
      </w:r>
    </w:p>
    <w:p w14:paraId="250FC277" w14:textId="77777777" w:rsidR="00D80372" w:rsidRPr="00C12FFB" w:rsidRDefault="00D80372" w:rsidP="00D80372">
      <w:pPr>
        <w:ind w:firstLine="567"/>
        <w:jc w:val="both"/>
      </w:pPr>
      <w:r>
        <w:t xml:space="preserve">Дума рассматривает проект решения о бюджете в </w:t>
      </w:r>
      <w:r w:rsidRPr="00E43ACD">
        <w:t>течение 20 календарных</w:t>
      </w:r>
      <w:r>
        <w:t xml:space="preserve"> дней с момента получения заключения от КСП.</w:t>
      </w:r>
    </w:p>
    <w:p w14:paraId="749D767A" w14:textId="6924A362" w:rsidR="00985063" w:rsidRDefault="00D80372" w:rsidP="00985063">
      <w:pPr>
        <w:ind w:firstLine="567"/>
        <w:jc w:val="both"/>
      </w:pPr>
      <w:r w:rsidRPr="00C12FFB">
        <w:t>Проект бюджета проанализирован на его соответствие требованиям БК РФ</w:t>
      </w:r>
      <w:r w:rsidR="00985063">
        <w:t xml:space="preserve"> и нормативно-правовых актов муниципального образования</w:t>
      </w:r>
      <w:r w:rsidRPr="00C12FFB">
        <w:t>.</w:t>
      </w:r>
      <w:r w:rsidRPr="006A1462">
        <w:t xml:space="preserve"> </w:t>
      </w:r>
      <w:r w:rsidR="00985063">
        <w:t xml:space="preserve">Состав показателей, представляемых для утверждения в проекте, соответствует требованиям ст. 184.1 БК РФ и ст. 24 </w:t>
      </w:r>
      <w:r w:rsidR="00985063" w:rsidRPr="00985063">
        <w:t>Положения о бюджетном процессе поселения</w:t>
      </w:r>
      <w:r w:rsidR="00985063">
        <w:t>.</w:t>
      </w:r>
    </w:p>
    <w:p w14:paraId="4C89D828" w14:textId="77777777" w:rsidR="00985063" w:rsidRDefault="00985063" w:rsidP="00985063">
      <w:pPr>
        <w:ind w:firstLine="567"/>
        <w:jc w:val="both"/>
      </w:pPr>
      <w:r>
        <w:lastRenderedPageBreak/>
        <w:t xml:space="preserve">Перечень и содержание документов, представленных в Думу Каразейского МО одновременно с проектом решения о бюджете, соответствуют требованиям 184.2 БК РФ, ст. </w:t>
      </w:r>
      <w:r w:rsidRPr="00985063">
        <w:t>25 Положения о бюджетном процессе поселения</w:t>
      </w:r>
      <w:r>
        <w:t>.</w:t>
      </w:r>
    </w:p>
    <w:p w14:paraId="77228A42" w14:textId="77777777" w:rsidR="00B31BB4" w:rsidRPr="00B31BB4" w:rsidRDefault="00B31BB4" w:rsidP="00B31BB4">
      <w:pPr>
        <w:ind w:firstLine="567"/>
        <w:jc w:val="both"/>
        <w:rPr>
          <w:b/>
        </w:rPr>
      </w:pPr>
    </w:p>
    <w:p w14:paraId="031F0702" w14:textId="77777777" w:rsidR="00D80372" w:rsidRPr="00C96FDE" w:rsidRDefault="00D80372" w:rsidP="00D80372">
      <w:pPr>
        <w:jc w:val="center"/>
        <w:rPr>
          <w:b/>
        </w:rPr>
      </w:pPr>
      <w:r>
        <w:rPr>
          <w:b/>
        </w:rPr>
        <w:t>2</w:t>
      </w:r>
      <w:r w:rsidRPr="00C96FDE">
        <w:rPr>
          <w:b/>
        </w:rPr>
        <w:t xml:space="preserve">. Параметры прогноза макроэкономических показателей для составления </w:t>
      </w:r>
    </w:p>
    <w:p w14:paraId="585C831C" w14:textId="77777777" w:rsidR="00615BE1" w:rsidRPr="005D6DC3" w:rsidRDefault="00D80372" w:rsidP="005D6DC3">
      <w:pPr>
        <w:jc w:val="center"/>
        <w:rPr>
          <w:b/>
          <w:color w:val="FF0000"/>
        </w:rPr>
      </w:pPr>
      <w:r w:rsidRPr="00C96FDE">
        <w:rPr>
          <w:b/>
        </w:rPr>
        <w:t>проекта бюджета</w:t>
      </w:r>
      <w:r w:rsidRPr="00A441D3">
        <w:rPr>
          <w:b/>
          <w:color w:val="FF0000"/>
        </w:rPr>
        <w:t xml:space="preserve"> </w:t>
      </w:r>
    </w:p>
    <w:p w14:paraId="701EA988" w14:textId="65ADBF89" w:rsidR="00F62429" w:rsidRDefault="00D80372" w:rsidP="00F62429">
      <w:pPr>
        <w:ind w:firstLine="567"/>
        <w:jc w:val="both"/>
      </w:pPr>
      <w:r w:rsidRPr="00D001C7">
        <w:t xml:space="preserve">Согласно </w:t>
      </w:r>
      <w:r>
        <w:t>ст. 169 Бюджетного кодекса РФ, ст</w:t>
      </w:r>
      <w:r w:rsidRPr="00E43AC7">
        <w:t>.12 Положения</w:t>
      </w:r>
      <w:r>
        <w:t xml:space="preserve"> о бюджетном процессе проект бюджета составляется на основе прогноза социально-экономического развития муниципального образования в целях финансового обе</w:t>
      </w:r>
      <w:r w:rsidR="005D6DC3">
        <w:t>спечения расходных обязательств</w:t>
      </w:r>
      <w:r w:rsidR="001E56DF">
        <w:t>.</w:t>
      </w:r>
    </w:p>
    <w:p w14:paraId="635AA783" w14:textId="63D311DC" w:rsidR="00D80372" w:rsidRDefault="00D80372" w:rsidP="00D80372">
      <w:pPr>
        <w:ind w:firstLine="567"/>
        <w:jc w:val="both"/>
      </w:pPr>
      <w:r w:rsidRPr="00A93535">
        <w:t xml:space="preserve">Прогноз социально-экономического развития поселения на </w:t>
      </w:r>
      <w:r w:rsidR="000E76FA">
        <w:t>2023</w:t>
      </w:r>
      <w:r>
        <w:t xml:space="preserve"> год и плановый период </w:t>
      </w:r>
      <w:r w:rsidR="000E76FA">
        <w:t>2024</w:t>
      </w:r>
      <w:r w:rsidRPr="00A93535">
        <w:t>-</w:t>
      </w:r>
      <w:r w:rsidR="000E76FA">
        <w:t>2025</w:t>
      </w:r>
      <w:r w:rsidRPr="00A93535">
        <w:t xml:space="preserve">гг.  </w:t>
      </w:r>
      <w:r w:rsidR="001E56DF" w:rsidRPr="001E56DF">
        <w:t xml:space="preserve">(далее – прогноз СЭР). </w:t>
      </w:r>
      <w:r w:rsidRPr="00A93535">
        <w:t xml:space="preserve">одобрен </w:t>
      </w:r>
      <w:r>
        <w:t>постановлением</w:t>
      </w:r>
      <w:r w:rsidRPr="00A93535">
        <w:t xml:space="preserve"> </w:t>
      </w:r>
      <w:r>
        <w:t xml:space="preserve">главы </w:t>
      </w:r>
      <w:r w:rsidRPr="00A93535">
        <w:t>администрации МО</w:t>
      </w:r>
      <w:r w:rsidRPr="00C96FDE">
        <w:t xml:space="preserve"> </w:t>
      </w:r>
      <w:r w:rsidRPr="00F07C9C">
        <w:t>от 1</w:t>
      </w:r>
      <w:r w:rsidR="001E56DF">
        <w:t>1</w:t>
      </w:r>
      <w:r w:rsidRPr="00F07C9C">
        <w:t>.11.</w:t>
      </w:r>
      <w:r w:rsidR="008C4A3C">
        <w:t>202</w:t>
      </w:r>
      <w:r w:rsidR="001E56DF">
        <w:t>2</w:t>
      </w:r>
      <w:r w:rsidRPr="00F07C9C">
        <w:t>г</w:t>
      </w:r>
      <w:r w:rsidRPr="00A93535">
        <w:t xml:space="preserve">. </w:t>
      </w:r>
      <w:r w:rsidRPr="00BB7EFD">
        <w:t>№</w:t>
      </w:r>
      <w:r w:rsidRPr="002524F9">
        <w:rPr>
          <w:b/>
        </w:rPr>
        <w:t xml:space="preserve"> </w:t>
      </w:r>
      <w:r w:rsidR="008C4A3C" w:rsidRPr="008C4A3C">
        <w:t>38</w:t>
      </w:r>
      <w:r w:rsidRPr="00F07C9C">
        <w:t xml:space="preserve"> одновременно</w:t>
      </w:r>
      <w:r w:rsidRPr="00A93535">
        <w:t xml:space="preserve"> с принятием решения о внесении проекта бюджета в представительный орган</w:t>
      </w:r>
      <w:r>
        <w:t>, чем</w:t>
      </w:r>
      <w:r w:rsidRPr="009854F2">
        <w:t xml:space="preserve"> </w:t>
      </w:r>
      <w:r>
        <w:t>соблюдены нормы ст.173 БК РФ и ст</w:t>
      </w:r>
      <w:r w:rsidRPr="00E43ACD">
        <w:t>. 1</w:t>
      </w:r>
      <w:r>
        <w:t>5 Положения о бюджетном процессе.</w:t>
      </w:r>
      <w:r w:rsidRPr="00A93535">
        <w:t xml:space="preserve"> </w:t>
      </w:r>
    </w:p>
    <w:p w14:paraId="7C264A36" w14:textId="7EC9CA20" w:rsidR="001E56DF" w:rsidRPr="00C41CB2" w:rsidRDefault="00D80372" w:rsidP="001E56DF">
      <w:pPr>
        <w:ind w:firstLine="567"/>
        <w:jc w:val="both"/>
      </w:pPr>
      <w:r>
        <w:t xml:space="preserve">Прогноз </w:t>
      </w:r>
      <w:r w:rsidR="001E56DF">
        <w:t>СЭР</w:t>
      </w:r>
      <w:r>
        <w:t xml:space="preserve"> поселения представлен в одном варианте</w:t>
      </w:r>
      <w:r w:rsidR="001E56DF">
        <w:t xml:space="preserve"> развития экономики</w:t>
      </w:r>
      <w:r>
        <w:t xml:space="preserve">. </w:t>
      </w:r>
      <w:r w:rsidR="001E56DF" w:rsidRPr="00C41CB2">
        <w:t xml:space="preserve">Динамика макроэкономических показателей </w:t>
      </w:r>
      <w:r w:rsidR="001E56DF">
        <w:t>Каразей</w:t>
      </w:r>
      <w:r w:rsidR="001E56DF" w:rsidRPr="00C41CB2">
        <w:t>ского сельского поселения представлен</w:t>
      </w:r>
      <w:r w:rsidR="001E56DF">
        <w:t>а</w:t>
      </w:r>
      <w:r w:rsidR="001E56DF" w:rsidRPr="00C41CB2">
        <w:t xml:space="preserve"> в таблице. </w:t>
      </w:r>
    </w:p>
    <w:p w14:paraId="63FA06EE" w14:textId="77777777" w:rsidR="001E56DF" w:rsidRPr="002342CA" w:rsidRDefault="001E56DF" w:rsidP="001E56DF">
      <w:pPr>
        <w:ind w:firstLine="567"/>
        <w:jc w:val="right"/>
      </w:pPr>
      <w:r w:rsidRPr="002342CA"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774"/>
        <w:gridCol w:w="946"/>
        <w:gridCol w:w="965"/>
        <w:gridCol w:w="978"/>
        <w:gridCol w:w="980"/>
        <w:gridCol w:w="980"/>
        <w:gridCol w:w="981"/>
      </w:tblGrid>
      <w:tr w:rsidR="001E56DF" w:rsidRPr="002342CA" w14:paraId="2CCEA000" w14:textId="77777777" w:rsidTr="00B77476">
        <w:tc>
          <w:tcPr>
            <w:tcW w:w="2979" w:type="dxa"/>
            <w:shd w:val="clear" w:color="auto" w:fill="auto"/>
          </w:tcPr>
          <w:p w14:paraId="09E8C87B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Показатели</w:t>
            </w:r>
          </w:p>
        </w:tc>
        <w:tc>
          <w:tcPr>
            <w:tcW w:w="815" w:type="dxa"/>
            <w:shd w:val="clear" w:color="auto" w:fill="auto"/>
          </w:tcPr>
          <w:p w14:paraId="425FDF5D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Ед.</w:t>
            </w:r>
          </w:p>
          <w:p w14:paraId="7308D3F7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изм.</w:t>
            </w:r>
          </w:p>
        </w:tc>
        <w:tc>
          <w:tcPr>
            <w:tcW w:w="992" w:type="dxa"/>
            <w:shd w:val="clear" w:color="auto" w:fill="auto"/>
          </w:tcPr>
          <w:p w14:paraId="34B89B20" w14:textId="4EE72BE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Факт 20</w:t>
            </w:r>
            <w:r>
              <w:rPr>
                <w:sz w:val="20"/>
                <w:szCs w:val="20"/>
              </w:rPr>
              <w:t>21</w:t>
            </w:r>
            <w:r w:rsidRPr="002342CA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2923DFC9" w14:textId="38609886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Оценка 20</w:t>
            </w:r>
            <w:r>
              <w:rPr>
                <w:sz w:val="20"/>
                <w:szCs w:val="20"/>
              </w:rPr>
              <w:t>22</w:t>
            </w:r>
            <w:r w:rsidRPr="002342CA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604CEE98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Измене-ние, %</w:t>
            </w:r>
          </w:p>
        </w:tc>
        <w:tc>
          <w:tcPr>
            <w:tcW w:w="992" w:type="dxa"/>
            <w:shd w:val="clear" w:color="auto" w:fill="auto"/>
          </w:tcPr>
          <w:p w14:paraId="026A2F7D" w14:textId="53050A4F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 xml:space="preserve">Прогноз </w:t>
            </w:r>
            <w:r>
              <w:rPr>
                <w:sz w:val="20"/>
                <w:szCs w:val="20"/>
              </w:rPr>
              <w:t>2023</w:t>
            </w:r>
            <w:r w:rsidRPr="002342CA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3EAC81F6" w14:textId="7D8727A9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 xml:space="preserve">Прогноз </w:t>
            </w:r>
            <w:r>
              <w:rPr>
                <w:sz w:val="20"/>
                <w:szCs w:val="20"/>
              </w:rPr>
              <w:t>2024</w:t>
            </w:r>
            <w:r w:rsidRPr="002342CA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shd w:val="clear" w:color="auto" w:fill="auto"/>
          </w:tcPr>
          <w:p w14:paraId="7B029302" w14:textId="16285DE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 xml:space="preserve">Прогноз </w:t>
            </w:r>
            <w:r>
              <w:rPr>
                <w:sz w:val="20"/>
                <w:szCs w:val="20"/>
              </w:rPr>
              <w:t>2025</w:t>
            </w:r>
            <w:r w:rsidRPr="002342CA">
              <w:rPr>
                <w:sz w:val="20"/>
                <w:szCs w:val="20"/>
              </w:rPr>
              <w:t>г.</w:t>
            </w:r>
          </w:p>
        </w:tc>
      </w:tr>
      <w:tr w:rsidR="001E56DF" w:rsidRPr="002342CA" w14:paraId="13FC3223" w14:textId="77777777" w:rsidTr="00B77476">
        <w:tc>
          <w:tcPr>
            <w:tcW w:w="2979" w:type="dxa"/>
            <w:shd w:val="clear" w:color="auto" w:fill="auto"/>
          </w:tcPr>
          <w:p w14:paraId="0DDCE59D" w14:textId="77777777" w:rsidR="001E56DF" w:rsidRPr="002342CA" w:rsidRDefault="001E56DF" w:rsidP="00B77476">
            <w:pPr>
              <w:jc w:val="both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Выручка от реализации продукции, работ, услуг</w:t>
            </w:r>
          </w:p>
        </w:tc>
        <w:tc>
          <w:tcPr>
            <w:tcW w:w="815" w:type="dxa"/>
            <w:shd w:val="clear" w:color="auto" w:fill="auto"/>
          </w:tcPr>
          <w:p w14:paraId="6E6161B1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</w:tcPr>
          <w:p w14:paraId="28EDC335" w14:textId="45C54016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  <w:tc>
          <w:tcPr>
            <w:tcW w:w="992" w:type="dxa"/>
            <w:shd w:val="clear" w:color="auto" w:fill="auto"/>
          </w:tcPr>
          <w:p w14:paraId="44667E21" w14:textId="2CAB47CA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992" w:type="dxa"/>
            <w:shd w:val="clear" w:color="auto" w:fill="auto"/>
          </w:tcPr>
          <w:p w14:paraId="2B018278" w14:textId="76010EE1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</w:t>
            </w:r>
          </w:p>
        </w:tc>
        <w:tc>
          <w:tcPr>
            <w:tcW w:w="992" w:type="dxa"/>
            <w:shd w:val="clear" w:color="auto" w:fill="auto"/>
          </w:tcPr>
          <w:p w14:paraId="73F6FE32" w14:textId="067CDC5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200,9</w:t>
            </w:r>
          </w:p>
        </w:tc>
        <w:tc>
          <w:tcPr>
            <w:tcW w:w="992" w:type="dxa"/>
            <w:shd w:val="clear" w:color="auto" w:fill="auto"/>
          </w:tcPr>
          <w:p w14:paraId="6582C4BD" w14:textId="2372AE0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r w:rsidRPr="002342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4C27B2C" w14:textId="59C103A6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Pr="002342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1E56DF" w:rsidRPr="002342CA" w14:paraId="015E2587" w14:textId="77777777" w:rsidTr="00B77476">
        <w:tc>
          <w:tcPr>
            <w:tcW w:w="2979" w:type="dxa"/>
            <w:shd w:val="clear" w:color="auto" w:fill="auto"/>
          </w:tcPr>
          <w:p w14:paraId="4D1C1273" w14:textId="77777777" w:rsidR="001E56DF" w:rsidRPr="002342CA" w:rsidRDefault="001E56DF" w:rsidP="00B77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815" w:type="dxa"/>
            <w:shd w:val="clear" w:color="auto" w:fill="auto"/>
          </w:tcPr>
          <w:p w14:paraId="48FCA649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чел.</w:t>
            </w:r>
          </w:p>
        </w:tc>
        <w:tc>
          <w:tcPr>
            <w:tcW w:w="992" w:type="dxa"/>
            <w:shd w:val="clear" w:color="auto" w:fill="auto"/>
          </w:tcPr>
          <w:p w14:paraId="1F841690" w14:textId="187D4D4F" w:rsidR="001E56DF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992" w:type="dxa"/>
            <w:shd w:val="clear" w:color="auto" w:fill="auto"/>
          </w:tcPr>
          <w:p w14:paraId="29625633" w14:textId="659E51DE" w:rsidR="001E56DF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992" w:type="dxa"/>
            <w:shd w:val="clear" w:color="auto" w:fill="auto"/>
          </w:tcPr>
          <w:p w14:paraId="3C91ABBC" w14:textId="4BE4D418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B761088" w14:textId="3392755D" w:rsidR="001E56DF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992" w:type="dxa"/>
            <w:shd w:val="clear" w:color="auto" w:fill="auto"/>
          </w:tcPr>
          <w:p w14:paraId="3B6504F4" w14:textId="1C3E69CF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993" w:type="dxa"/>
            <w:shd w:val="clear" w:color="auto" w:fill="auto"/>
          </w:tcPr>
          <w:p w14:paraId="2D7BCC6C" w14:textId="1FB176AA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  <w:tr w:rsidR="001E56DF" w:rsidRPr="002342CA" w14:paraId="0E33FC92" w14:textId="77777777" w:rsidTr="00B77476">
        <w:tc>
          <w:tcPr>
            <w:tcW w:w="2979" w:type="dxa"/>
            <w:shd w:val="clear" w:color="auto" w:fill="auto"/>
          </w:tcPr>
          <w:p w14:paraId="13D25ACD" w14:textId="77777777" w:rsidR="001E56DF" w:rsidRPr="006B7932" w:rsidRDefault="001E56DF" w:rsidP="00B77476">
            <w:pPr>
              <w:jc w:val="both"/>
              <w:rPr>
                <w:sz w:val="20"/>
                <w:szCs w:val="20"/>
              </w:rPr>
            </w:pPr>
            <w:r w:rsidRPr="006B7932"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815" w:type="dxa"/>
            <w:shd w:val="clear" w:color="auto" w:fill="auto"/>
          </w:tcPr>
          <w:p w14:paraId="07F22B24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2342CA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706DB9B0" w14:textId="6385C3A9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321DA">
              <w:rPr>
                <w:sz w:val="20"/>
                <w:szCs w:val="20"/>
              </w:rPr>
              <w:t>194</w:t>
            </w:r>
          </w:p>
        </w:tc>
        <w:tc>
          <w:tcPr>
            <w:tcW w:w="992" w:type="dxa"/>
            <w:shd w:val="clear" w:color="auto" w:fill="auto"/>
          </w:tcPr>
          <w:p w14:paraId="3C798093" w14:textId="1912AA1A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321DA">
              <w:rPr>
                <w:sz w:val="20"/>
                <w:szCs w:val="20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14:paraId="1C464B5D" w14:textId="20FFD3CC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shd w:val="clear" w:color="auto" w:fill="auto"/>
          </w:tcPr>
          <w:p w14:paraId="4FC5FEF5" w14:textId="4368602B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321DA">
              <w:rPr>
                <w:sz w:val="20"/>
                <w:szCs w:val="20"/>
              </w:rPr>
              <w:t>203</w:t>
            </w:r>
          </w:p>
        </w:tc>
        <w:tc>
          <w:tcPr>
            <w:tcW w:w="992" w:type="dxa"/>
            <w:shd w:val="clear" w:color="auto" w:fill="auto"/>
          </w:tcPr>
          <w:p w14:paraId="79D2E47A" w14:textId="484E59AC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321DA">
              <w:rPr>
                <w:sz w:val="20"/>
                <w:szCs w:val="20"/>
              </w:rPr>
              <w:t>203</w:t>
            </w:r>
          </w:p>
        </w:tc>
        <w:tc>
          <w:tcPr>
            <w:tcW w:w="993" w:type="dxa"/>
            <w:shd w:val="clear" w:color="auto" w:fill="auto"/>
          </w:tcPr>
          <w:p w14:paraId="2A94169B" w14:textId="2DF098F4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321DA">
              <w:rPr>
                <w:sz w:val="20"/>
                <w:szCs w:val="20"/>
              </w:rPr>
              <w:t>203</w:t>
            </w:r>
          </w:p>
        </w:tc>
      </w:tr>
      <w:tr w:rsidR="001E56DF" w:rsidRPr="002342CA" w14:paraId="06427878" w14:textId="77777777" w:rsidTr="00B77476">
        <w:tc>
          <w:tcPr>
            <w:tcW w:w="2979" w:type="dxa"/>
            <w:shd w:val="clear" w:color="auto" w:fill="auto"/>
          </w:tcPr>
          <w:p w14:paraId="7B6D32B8" w14:textId="26CD449A" w:rsidR="001E56DF" w:rsidRPr="006B7932" w:rsidRDefault="001E56DF" w:rsidP="00B77476">
            <w:pPr>
              <w:jc w:val="both"/>
              <w:rPr>
                <w:sz w:val="20"/>
                <w:szCs w:val="20"/>
              </w:rPr>
            </w:pPr>
            <w:r w:rsidRPr="006B7932">
              <w:rPr>
                <w:sz w:val="20"/>
                <w:szCs w:val="20"/>
              </w:rPr>
              <w:t>Среднемесячная начисленная заработн</w:t>
            </w:r>
            <w:r w:rsidR="007321DA">
              <w:rPr>
                <w:sz w:val="20"/>
                <w:szCs w:val="20"/>
              </w:rPr>
              <w:t>.</w:t>
            </w:r>
            <w:r w:rsidRPr="006B7932">
              <w:rPr>
                <w:sz w:val="20"/>
                <w:szCs w:val="20"/>
              </w:rPr>
              <w:t xml:space="preserve"> плата </w:t>
            </w:r>
          </w:p>
        </w:tc>
        <w:tc>
          <w:tcPr>
            <w:tcW w:w="815" w:type="dxa"/>
            <w:shd w:val="clear" w:color="auto" w:fill="auto"/>
          </w:tcPr>
          <w:p w14:paraId="273FBA33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14:paraId="52D70C05" w14:textId="3E57C28D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32126</w:t>
            </w:r>
          </w:p>
        </w:tc>
        <w:tc>
          <w:tcPr>
            <w:tcW w:w="992" w:type="dxa"/>
            <w:shd w:val="clear" w:color="auto" w:fill="auto"/>
          </w:tcPr>
          <w:p w14:paraId="1EF4FF53" w14:textId="44D1C4EE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</w:t>
            </w:r>
          </w:p>
        </w:tc>
        <w:tc>
          <w:tcPr>
            <w:tcW w:w="992" w:type="dxa"/>
            <w:shd w:val="clear" w:color="auto" w:fill="auto"/>
          </w:tcPr>
          <w:p w14:paraId="37F3CF05" w14:textId="1070EFD1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992" w:type="dxa"/>
            <w:shd w:val="clear" w:color="auto" w:fill="auto"/>
          </w:tcPr>
          <w:p w14:paraId="1F59D1AE" w14:textId="512ACF24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35755</w:t>
            </w:r>
          </w:p>
        </w:tc>
        <w:tc>
          <w:tcPr>
            <w:tcW w:w="992" w:type="dxa"/>
            <w:shd w:val="clear" w:color="auto" w:fill="auto"/>
          </w:tcPr>
          <w:p w14:paraId="53CDB20A" w14:textId="053EB330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37603</w:t>
            </w:r>
          </w:p>
        </w:tc>
        <w:tc>
          <w:tcPr>
            <w:tcW w:w="993" w:type="dxa"/>
            <w:shd w:val="clear" w:color="auto" w:fill="auto"/>
          </w:tcPr>
          <w:p w14:paraId="1533FB75" w14:textId="2F6DA41C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40312</w:t>
            </w:r>
          </w:p>
        </w:tc>
      </w:tr>
      <w:tr w:rsidR="001E56DF" w:rsidRPr="002342CA" w14:paraId="7B9001E3" w14:textId="77777777" w:rsidTr="00B77476">
        <w:tc>
          <w:tcPr>
            <w:tcW w:w="2979" w:type="dxa"/>
            <w:shd w:val="clear" w:color="auto" w:fill="auto"/>
          </w:tcPr>
          <w:p w14:paraId="3F145994" w14:textId="77777777" w:rsidR="001E56DF" w:rsidRPr="002342CA" w:rsidRDefault="001E56DF" w:rsidP="00B77476">
            <w:pPr>
              <w:jc w:val="both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 xml:space="preserve">Фонд начисленной заработной платы по полному кругу организаций </w:t>
            </w:r>
          </w:p>
        </w:tc>
        <w:tc>
          <w:tcPr>
            <w:tcW w:w="815" w:type="dxa"/>
            <w:shd w:val="clear" w:color="auto" w:fill="auto"/>
          </w:tcPr>
          <w:p w14:paraId="0ABD4F45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млн.</w:t>
            </w:r>
          </w:p>
          <w:p w14:paraId="1B96CF01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14:paraId="0390110A" w14:textId="03F9A478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shd w:val="clear" w:color="auto" w:fill="auto"/>
          </w:tcPr>
          <w:p w14:paraId="48EA5E89" w14:textId="00924A5F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14:paraId="6239868F" w14:textId="0C7D7783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shd w:val="clear" w:color="auto" w:fill="auto"/>
          </w:tcPr>
          <w:p w14:paraId="53EBFF27" w14:textId="3DE3223E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992" w:type="dxa"/>
            <w:shd w:val="clear" w:color="auto" w:fill="auto"/>
          </w:tcPr>
          <w:p w14:paraId="1FA867E4" w14:textId="1A2B956B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  <w:shd w:val="clear" w:color="auto" w:fill="auto"/>
          </w:tcPr>
          <w:p w14:paraId="1AA65ED0" w14:textId="1D975E59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</w:tbl>
    <w:p w14:paraId="27D93604" w14:textId="5EA567BC" w:rsidR="00D80372" w:rsidRDefault="00D80372" w:rsidP="00D80372">
      <w:pPr>
        <w:ind w:firstLine="567"/>
        <w:jc w:val="both"/>
      </w:pPr>
    </w:p>
    <w:p w14:paraId="7375AD22" w14:textId="77777777" w:rsidR="00C97C61" w:rsidRDefault="00C97C61" w:rsidP="00C97C61">
      <w:pPr>
        <w:ind w:firstLine="567"/>
        <w:jc w:val="both"/>
      </w:pPr>
      <w:r>
        <w:t>Данные таблицы по основным макроэкономическим показателям свидетельствуют об увеличении темпов их роста по сравнению с ожидаемым исполнением в 2022 году.</w:t>
      </w:r>
    </w:p>
    <w:p w14:paraId="52FA00BB" w14:textId="21B1E635" w:rsidR="00720636" w:rsidRDefault="00C97C61" w:rsidP="00C97C61">
      <w:pPr>
        <w:ind w:firstLine="567"/>
        <w:jc w:val="both"/>
      </w:pPr>
      <w:r>
        <w:t>О</w:t>
      </w:r>
      <w:r w:rsidR="003074DB" w:rsidRPr="0038720E">
        <w:t>сновным показателем, характеризующим экономическое развитие поселения, является выручка от реализации товаров (работ, услуг).</w:t>
      </w:r>
      <w:r w:rsidR="003074DB">
        <w:t xml:space="preserve"> </w:t>
      </w:r>
      <w:r w:rsidR="00720636">
        <w:t>Выручка планируется в трех сферах: сельское хозяйство, торговля и проч</w:t>
      </w:r>
      <w:r w:rsidR="00231D42">
        <w:t>ая деятельность</w:t>
      </w:r>
      <w:r w:rsidR="00720636">
        <w:t xml:space="preserve">. </w:t>
      </w:r>
    </w:p>
    <w:p w14:paraId="5BFAF87F" w14:textId="7B2BD2CC" w:rsidR="00720636" w:rsidRDefault="00720636" w:rsidP="00720636">
      <w:pPr>
        <w:ind w:firstLine="567"/>
        <w:jc w:val="both"/>
      </w:pPr>
      <w:r>
        <w:t>Данные Прогноза свидетельствуют о том, что выручка от реализации продукции сельского хозяйства является самой значительной в общем объеме выручки и составляет 97,</w:t>
      </w:r>
      <w:r w:rsidR="00231D42">
        <w:t>7</w:t>
      </w:r>
      <w:r>
        <w:t>%.</w:t>
      </w:r>
      <w:r w:rsidRPr="00720636">
        <w:t xml:space="preserve"> </w:t>
      </w:r>
      <w:r w:rsidR="00897726">
        <w:t>По оценке в 202</w:t>
      </w:r>
      <w:r w:rsidR="00231D42">
        <w:t>2</w:t>
      </w:r>
      <w:r>
        <w:t xml:space="preserve"> году выручка от реализации сельскохозяйственной продукции составит 1</w:t>
      </w:r>
      <w:r w:rsidR="00231D42">
        <w:t>82,4</w:t>
      </w:r>
      <w:r>
        <w:t xml:space="preserve"> млн. руб., по прогнозу на </w:t>
      </w:r>
      <w:r w:rsidR="000E76FA">
        <w:t>2023</w:t>
      </w:r>
      <w:r>
        <w:t xml:space="preserve"> год по отношению к 202</w:t>
      </w:r>
      <w:r w:rsidR="00231D42">
        <w:t>2</w:t>
      </w:r>
      <w:r>
        <w:t xml:space="preserve"> году объем выручки планируется с ростом на </w:t>
      </w:r>
      <w:r w:rsidR="00231D42">
        <w:t>7,8</w:t>
      </w:r>
      <w:r>
        <w:t>%, на плановый период</w:t>
      </w:r>
      <w:r w:rsidR="00897726">
        <w:t xml:space="preserve"> </w:t>
      </w:r>
      <w:r w:rsidR="000E76FA">
        <w:t>2024</w:t>
      </w:r>
      <w:r w:rsidR="00897726">
        <w:t>-</w:t>
      </w:r>
      <w:r w:rsidR="000E76FA">
        <w:t>2025</w:t>
      </w:r>
      <w:r w:rsidR="00897726">
        <w:t>гг.</w:t>
      </w:r>
      <w:r>
        <w:t xml:space="preserve"> планируется ежегодный рост </w:t>
      </w:r>
      <w:r w:rsidR="00231D42">
        <w:t>в пределах 4</w:t>
      </w:r>
      <w:r>
        <w:t>%.</w:t>
      </w:r>
      <w:r w:rsidR="00E42742">
        <w:t xml:space="preserve"> На территории поселения в отрасли сельского хозяйства осуществляют деятельность КФХ «Воздвиженская А.Е.», СПК «Колхоз Труд». От уплаты единого сельскохозяйственного налога данных экономических субъектов запланированы поступления в бюджет поселения ежегодно по 197</w:t>
      </w:r>
      <w:r w:rsidR="00211D12">
        <w:t>0</w:t>
      </w:r>
      <w:r w:rsidR="00E42742">
        <w:t xml:space="preserve"> тыс.руб.</w:t>
      </w:r>
    </w:p>
    <w:p w14:paraId="461C15ED" w14:textId="5AAE61C9" w:rsidR="00201DA3" w:rsidRDefault="00041C1A" w:rsidP="00041C1A">
      <w:pPr>
        <w:ind w:firstLine="567"/>
        <w:jc w:val="both"/>
      </w:pPr>
      <w:r>
        <w:t>Оборот розничной торговли по оценке 202</w:t>
      </w:r>
      <w:r w:rsidR="00231D42">
        <w:t>2</w:t>
      </w:r>
      <w:r>
        <w:t xml:space="preserve"> года составит </w:t>
      </w:r>
      <w:r w:rsidR="00231D42">
        <w:t>4</w:t>
      </w:r>
      <w:r>
        <w:t xml:space="preserve"> млн. руб., или </w:t>
      </w:r>
      <w:r w:rsidR="00231D42">
        <w:t>105,3</w:t>
      </w:r>
      <w:r>
        <w:t>% к факту 202</w:t>
      </w:r>
      <w:r w:rsidR="00231D42">
        <w:t>1</w:t>
      </w:r>
      <w:r>
        <w:t xml:space="preserve"> года. </w:t>
      </w:r>
      <w:r w:rsidR="00231D42">
        <w:t>Далее ежегодно планируется прирост выручки в абсолютном выражении на 200 тыс.руб.</w:t>
      </w:r>
    </w:p>
    <w:p w14:paraId="3E81ED41" w14:textId="4616C546" w:rsidR="005A6BB3" w:rsidRDefault="005A6BB3" w:rsidP="005A6BB3">
      <w:pPr>
        <w:ind w:firstLine="567"/>
        <w:jc w:val="both"/>
      </w:pPr>
      <w:r w:rsidRPr="00C76D2B">
        <w:rPr>
          <w:b/>
        </w:rPr>
        <w:t xml:space="preserve">Следует отметить, что такой </w:t>
      </w:r>
      <w:bookmarkStart w:id="0" w:name="_Hlk119594924"/>
      <w:r w:rsidRPr="00C76D2B">
        <w:rPr>
          <w:b/>
        </w:rPr>
        <w:t>показател</w:t>
      </w:r>
      <w:r>
        <w:rPr>
          <w:b/>
        </w:rPr>
        <w:t>ь</w:t>
      </w:r>
      <w:r w:rsidRPr="00C76D2B">
        <w:rPr>
          <w:b/>
        </w:rPr>
        <w:t>, как «число действующих предприятий», в том числе по видам экономической деятельности в пр</w:t>
      </w:r>
      <w:r>
        <w:rPr>
          <w:b/>
        </w:rPr>
        <w:t>едставленном прогнозе отсутствуе</w:t>
      </w:r>
      <w:r w:rsidRPr="00C76D2B">
        <w:rPr>
          <w:b/>
        </w:rPr>
        <w:t>т</w:t>
      </w:r>
      <w:r>
        <w:t>.</w:t>
      </w:r>
      <w:r w:rsidR="00D1485F">
        <w:t xml:space="preserve"> </w:t>
      </w:r>
      <w:r w:rsidR="00D1485F" w:rsidRPr="00D1485F">
        <w:rPr>
          <w:b/>
          <w:bCs/>
        </w:rPr>
        <w:t>Данное замечание уже отмечалось при проведении экспертизы проекта бюджета поселения на 2022год и плановый период 2023-2024гг</w:t>
      </w:r>
      <w:r w:rsidR="00D1485F">
        <w:t>.</w:t>
      </w:r>
    </w:p>
    <w:bookmarkEnd w:id="0"/>
    <w:p w14:paraId="22F8197B" w14:textId="69500B10" w:rsidR="00CC2B92" w:rsidRDefault="00AD1332" w:rsidP="00CC2B92">
      <w:pPr>
        <w:ind w:firstLine="567"/>
        <w:jc w:val="both"/>
      </w:pPr>
      <w:r>
        <w:t xml:space="preserve">Численность постоянного населения по данным Службы государственной </w:t>
      </w:r>
      <w:r w:rsidR="000320F1">
        <w:t>статистики на</w:t>
      </w:r>
      <w:r>
        <w:t xml:space="preserve"> 01.01.202</w:t>
      </w:r>
      <w:r w:rsidR="00427D6E">
        <w:t>1</w:t>
      </w:r>
      <w:r>
        <w:t xml:space="preserve"> года составляет 11</w:t>
      </w:r>
      <w:r w:rsidR="00427D6E">
        <w:t>0</w:t>
      </w:r>
      <w:r w:rsidR="000320F1">
        <w:t>0</w:t>
      </w:r>
      <w:r>
        <w:t xml:space="preserve"> человек, на 01.01.202</w:t>
      </w:r>
      <w:r w:rsidR="00427D6E">
        <w:t>2</w:t>
      </w:r>
      <w:r>
        <w:t xml:space="preserve"> год </w:t>
      </w:r>
      <w:r w:rsidR="000320F1">
        <w:t>–</w:t>
      </w:r>
      <w:r>
        <w:t xml:space="preserve"> </w:t>
      </w:r>
      <w:r w:rsidR="000320F1">
        <w:t>1</w:t>
      </w:r>
      <w:r w:rsidR="00427D6E">
        <w:t>099</w:t>
      </w:r>
      <w:r w:rsidR="000320F1">
        <w:t xml:space="preserve"> </w:t>
      </w:r>
      <w:r w:rsidR="004B475D">
        <w:t>человек, а в Прогнозе</w:t>
      </w:r>
      <w:r w:rsidR="00CC2B92">
        <w:t xml:space="preserve"> </w:t>
      </w:r>
      <w:r w:rsidR="00CC2B92">
        <w:lastRenderedPageBreak/>
        <w:t>СЭР</w:t>
      </w:r>
      <w:r w:rsidR="004B475D">
        <w:t xml:space="preserve"> отражена в количестве 1</w:t>
      </w:r>
      <w:r w:rsidR="00CC2B92">
        <w:t>,</w:t>
      </w:r>
      <w:r w:rsidR="004B475D">
        <w:t>08</w:t>
      </w:r>
      <w:r w:rsidR="00CC2B92">
        <w:t xml:space="preserve"> тыс.</w:t>
      </w:r>
      <w:r w:rsidR="004B475D">
        <w:t xml:space="preserve"> человек.</w:t>
      </w:r>
      <w:r w:rsidR="0050658D">
        <w:t xml:space="preserve"> </w:t>
      </w:r>
      <w:r w:rsidR="007430AB">
        <w:t>Иркутскстатом по итогам Всероссийской переписи сформирована информационная таблица, содержащая сведения о численности населения Иркутской области в разрезе муниципальных образований по данным на 1 октября 2021 года.</w:t>
      </w:r>
      <w:r w:rsidR="00CC2B92" w:rsidRPr="00CC2B92">
        <w:t xml:space="preserve"> Так, численность Каразейского МО на 01.10.2021года по данным переписи составила 1077чел</w:t>
      </w:r>
      <w:r w:rsidR="00CC2B92">
        <w:t>.</w:t>
      </w:r>
      <w:r w:rsidR="00CC2B92" w:rsidRPr="00CC2B92">
        <w:t xml:space="preserve"> </w:t>
      </w:r>
      <w:r w:rsidR="00CC2B92">
        <w:t xml:space="preserve">Корректировка информации о численности постоянного населения с учетом данных о численности населения по итогам Всероссийской переписи будет обеспечена при формировании официальной статистической отчетности о численности постоянного населения по состоянию на 1 января 2023 года. </w:t>
      </w:r>
      <w:r w:rsidR="00B47759">
        <w:t>Согласно пояснительной записк</w:t>
      </w:r>
      <w:r w:rsidR="00EB1E96">
        <w:t>е</w:t>
      </w:r>
      <w:r w:rsidR="00B47759">
        <w:t xml:space="preserve"> к Прогнозу СЭР, численность постоянного населения муниципального образования снижается, и эта тенденция сохранится в связи с неразвитой инженерной и социальной инфраструктурой</w:t>
      </w:r>
      <w:r w:rsidR="00CF6BC8">
        <w:t>, отсутствием рабочих мест. Также пояснительной запиской отмечено, что за девять месяцев 2022 года показатель смертности превысил показатель рождаемости в два раза.</w:t>
      </w:r>
    </w:p>
    <w:p w14:paraId="14E91E37" w14:textId="7E8ABF6F" w:rsidR="00CF6BC8" w:rsidRDefault="0050658D" w:rsidP="00F81BB4">
      <w:pPr>
        <w:ind w:firstLine="567"/>
        <w:jc w:val="both"/>
      </w:pPr>
      <w:r>
        <w:t>Среднесписочная численность работников по полному кругу организаций по оценке 202</w:t>
      </w:r>
      <w:r w:rsidR="00CC2B92">
        <w:t>2</w:t>
      </w:r>
      <w:r>
        <w:t xml:space="preserve"> года составит 1</w:t>
      </w:r>
      <w:r w:rsidR="00CC2B92">
        <w:t>99</w:t>
      </w:r>
      <w:r>
        <w:t xml:space="preserve"> чел., на плановый период </w:t>
      </w:r>
      <w:r w:rsidR="000E76FA">
        <w:t>2023</w:t>
      </w:r>
      <w:r>
        <w:t>-</w:t>
      </w:r>
      <w:r w:rsidR="000E76FA">
        <w:t>2025</w:t>
      </w:r>
      <w:r>
        <w:t xml:space="preserve">гг. прогнозируется </w:t>
      </w:r>
      <w:r w:rsidR="00CC2B92">
        <w:t>с ростом и составит</w:t>
      </w:r>
      <w:r>
        <w:t xml:space="preserve"> </w:t>
      </w:r>
      <w:r w:rsidR="00CC2B92">
        <w:t xml:space="preserve">по </w:t>
      </w:r>
      <w:r w:rsidR="00CC2B92" w:rsidRPr="00CC2B92">
        <w:t>203</w:t>
      </w:r>
      <w:r w:rsidRPr="00CC2B92">
        <w:t xml:space="preserve"> чел</w:t>
      </w:r>
      <w:r w:rsidRPr="00CC2B92">
        <w:rPr>
          <w:bCs/>
          <w:i/>
          <w:iCs/>
        </w:rPr>
        <w:t>.</w:t>
      </w:r>
      <w:r>
        <w:t xml:space="preserve"> ежегодно.</w:t>
      </w:r>
      <w:r w:rsidR="006B3F65">
        <w:t xml:space="preserve"> </w:t>
      </w:r>
      <w:r w:rsidR="00CF6BC8" w:rsidRPr="00CF6BC8">
        <w:t>Численность работников</w:t>
      </w:r>
      <w:r w:rsidR="00CF6BC8">
        <w:t xml:space="preserve"> в плановом периоде</w:t>
      </w:r>
      <w:r w:rsidR="00CF6BC8" w:rsidRPr="00CF6BC8">
        <w:t xml:space="preserve"> состав</w:t>
      </w:r>
      <w:r w:rsidR="00CF6BC8">
        <w:t>и</w:t>
      </w:r>
      <w:r w:rsidR="00CF6BC8" w:rsidRPr="00CF6BC8">
        <w:t xml:space="preserve">т </w:t>
      </w:r>
      <w:r w:rsidR="00CF6BC8">
        <w:t>18,8</w:t>
      </w:r>
      <w:r w:rsidR="00CF6BC8" w:rsidRPr="00CF6BC8">
        <w:t>% от численности постоянного населения (</w:t>
      </w:r>
      <w:r w:rsidR="00CF6BC8">
        <w:t>203</w:t>
      </w:r>
      <w:r w:rsidR="00CF6BC8" w:rsidRPr="00CF6BC8">
        <w:t>/</w:t>
      </w:r>
      <w:r w:rsidR="00CF6BC8">
        <w:t>1080</w:t>
      </w:r>
      <w:r w:rsidR="00CF6BC8" w:rsidRPr="00CF6BC8">
        <w:t xml:space="preserve">). Из общей численности работающих </w:t>
      </w:r>
      <w:r w:rsidR="00C42971">
        <w:t>110 чел., или 54% - это работники сельского хозяйства. Р</w:t>
      </w:r>
      <w:r w:rsidR="00C42971" w:rsidRPr="00C42971">
        <w:t>аботник</w:t>
      </w:r>
      <w:r w:rsidR="00C42971">
        <w:t>ов</w:t>
      </w:r>
      <w:r w:rsidR="00C42971" w:rsidRPr="00C42971">
        <w:t xml:space="preserve"> бюджетной сферы</w:t>
      </w:r>
      <w:r w:rsidR="00C42971">
        <w:t xml:space="preserve"> - </w:t>
      </w:r>
      <w:r w:rsidR="00CF6BC8">
        <w:t>86</w:t>
      </w:r>
      <w:r w:rsidR="00CF6BC8" w:rsidRPr="00CF6BC8">
        <w:t xml:space="preserve"> чел., или </w:t>
      </w:r>
      <w:r w:rsidR="00C42971">
        <w:t>42</w:t>
      </w:r>
      <w:r w:rsidR="00CF6BC8" w:rsidRPr="00CF6BC8">
        <w:t xml:space="preserve">%, в том числе: в образовании </w:t>
      </w:r>
      <w:r w:rsidR="00CF6BC8">
        <w:t>7</w:t>
      </w:r>
      <w:r w:rsidR="00CF6BC8" w:rsidRPr="00CF6BC8">
        <w:t xml:space="preserve">0 чел., здравоохранении </w:t>
      </w:r>
      <w:r w:rsidR="00CF6BC8">
        <w:t>3</w:t>
      </w:r>
      <w:r w:rsidR="00CF6BC8" w:rsidRPr="00CF6BC8">
        <w:t xml:space="preserve"> человек</w:t>
      </w:r>
      <w:r w:rsidR="00CF6BC8">
        <w:t>а</w:t>
      </w:r>
      <w:r w:rsidR="00CF6BC8" w:rsidRPr="00CF6BC8">
        <w:t xml:space="preserve">, госуправлении – </w:t>
      </w:r>
      <w:r w:rsidR="00CF6BC8">
        <w:t>7</w:t>
      </w:r>
      <w:r w:rsidR="00CF6BC8" w:rsidRPr="00CF6BC8">
        <w:t xml:space="preserve"> человек, в культуре – </w:t>
      </w:r>
      <w:r w:rsidR="00CF6BC8">
        <w:t>6</w:t>
      </w:r>
      <w:r w:rsidR="00CF6BC8" w:rsidRPr="00CF6BC8">
        <w:t xml:space="preserve"> человек. </w:t>
      </w:r>
    </w:p>
    <w:p w14:paraId="1F43491E" w14:textId="6E243082" w:rsidR="00F81BB4" w:rsidRPr="00B77476" w:rsidRDefault="00CF6BC8" w:rsidP="00F81BB4">
      <w:pPr>
        <w:ind w:firstLine="567"/>
        <w:jc w:val="both"/>
      </w:pPr>
      <w:bookmarkStart w:id="1" w:name="_Hlk119594989"/>
      <w:r w:rsidRPr="00CF6BC8">
        <w:rPr>
          <w:b/>
          <w:bCs/>
        </w:rPr>
        <w:t>Показатель «уровень регистрируемой безработицы» отсутствует</w:t>
      </w:r>
      <w:bookmarkEnd w:id="1"/>
      <w:r w:rsidRPr="00CF6BC8">
        <w:rPr>
          <w:b/>
          <w:bCs/>
        </w:rPr>
        <w:t>.</w:t>
      </w:r>
      <w:r>
        <w:t xml:space="preserve"> Хотя предыдущий Прогноз СЭР отражал данный показатель на</w:t>
      </w:r>
      <w:r w:rsidR="00F81BB4">
        <w:t xml:space="preserve"> 2021 год</w:t>
      </w:r>
      <w:r>
        <w:t xml:space="preserve"> на уровне</w:t>
      </w:r>
      <w:r w:rsidR="00F81BB4">
        <w:t xml:space="preserve"> 1</w:t>
      </w:r>
      <w:r w:rsidR="00264616">
        <w:t>,4%</w:t>
      </w:r>
      <w:r>
        <w:t xml:space="preserve"> от трудоспособного населения, </w:t>
      </w:r>
      <w:r w:rsidR="00264616">
        <w:t xml:space="preserve">на </w:t>
      </w:r>
      <w:r w:rsidR="000E76FA">
        <w:t>202</w:t>
      </w:r>
      <w:r>
        <w:t>2</w:t>
      </w:r>
      <w:r w:rsidR="00225A9A">
        <w:t xml:space="preserve">г. </w:t>
      </w:r>
      <w:r>
        <w:t>-</w:t>
      </w:r>
      <w:r w:rsidR="00264616">
        <w:t xml:space="preserve">1,5%, на </w:t>
      </w:r>
      <w:r w:rsidR="000E76FA">
        <w:t>202</w:t>
      </w:r>
      <w:r>
        <w:t>3</w:t>
      </w:r>
      <w:r w:rsidR="00264616">
        <w:t xml:space="preserve">г. – 1,6%, на </w:t>
      </w:r>
      <w:r w:rsidR="000E76FA">
        <w:t>202</w:t>
      </w:r>
      <w:r>
        <w:t>4</w:t>
      </w:r>
      <w:r w:rsidR="00264616">
        <w:t>г. – 1,8%.</w:t>
      </w:r>
      <w:r w:rsidR="00AE0147">
        <w:t xml:space="preserve"> </w:t>
      </w:r>
      <w:r w:rsidR="00AE0147" w:rsidRPr="00B77476">
        <w:t>Текстом пояснительной</w:t>
      </w:r>
      <w:r w:rsidR="00B77476" w:rsidRPr="00B77476">
        <w:t xml:space="preserve"> отмечено, что на учете в Центре занятости населения в качестве безработных состоит 16 жителей поселения.</w:t>
      </w:r>
    </w:p>
    <w:p w14:paraId="7358C66F" w14:textId="6783BBAA" w:rsidR="00F62429" w:rsidRDefault="00F81BB4" w:rsidP="00F62429">
      <w:pPr>
        <w:ind w:firstLine="567"/>
        <w:jc w:val="both"/>
      </w:pPr>
      <w:r w:rsidRPr="00B11576">
        <w:t>Среднемесячная начисленная заработная плата прогнозируется с ежегодным ростом</w:t>
      </w:r>
      <w:r>
        <w:t xml:space="preserve"> </w:t>
      </w:r>
      <w:r w:rsidR="00B77476">
        <w:t>чуть более 5</w:t>
      </w:r>
      <w:r>
        <w:t>%</w:t>
      </w:r>
      <w:r w:rsidR="00B77476">
        <w:t>, а на 2025 год - на 7,2%</w:t>
      </w:r>
      <w:r w:rsidRPr="00B11576">
        <w:t xml:space="preserve">. </w:t>
      </w:r>
      <w:r>
        <w:t>Ф</w:t>
      </w:r>
      <w:r w:rsidRPr="00B11576">
        <w:t>актическая средняя зарплата за 20</w:t>
      </w:r>
      <w:r w:rsidR="00225A9A">
        <w:t>2</w:t>
      </w:r>
      <w:r w:rsidR="00B77476">
        <w:t>1</w:t>
      </w:r>
      <w:r w:rsidR="00225A9A">
        <w:t xml:space="preserve"> г</w:t>
      </w:r>
      <w:r w:rsidRPr="00B11576">
        <w:t xml:space="preserve">од составила </w:t>
      </w:r>
      <w:r w:rsidR="00115F2E">
        <w:t>3</w:t>
      </w:r>
      <w:r w:rsidR="00B77476">
        <w:t>2</w:t>
      </w:r>
      <w:r w:rsidR="00115F2E">
        <w:t>,1</w:t>
      </w:r>
      <w:r w:rsidR="00225A9A">
        <w:t xml:space="preserve"> </w:t>
      </w:r>
      <w:r w:rsidRPr="00B11576">
        <w:t xml:space="preserve">тыс. руб., на </w:t>
      </w:r>
      <w:r>
        <w:t>202</w:t>
      </w:r>
      <w:r w:rsidR="00B77476">
        <w:t>2</w:t>
      </w:r>
      <w:r w:rsidR="00115F2E">
        <w:t xml:space="preserve"> </w:t>
      </w:r>
      <w:r>
        <w:t xml:space="preserve">год ожидается </w:t>
      </w:r>
      <w:r w:rsidR="00B77476">
        <w:t>33,9</w:t>
      </w:r>
      <w:r w:rsidR="00115F2E">
        <w:t xml:space="preserve"> </w:t>
      </w:r>
      <w:r w:rsidRPr="00B11576">
        <w:t xml:space="preserve">тыс. руб. (темп роста по отношению к предыдущему году </w:t>
      </w:r>
      <w:r w:rsidR="00B77476">
        <w:t>105,6</w:t>
      </w:r>
      <w:r w:rsidRPr="00B11576">
        <w:t xml:space="preserve">%), прогноз на </w:t>
      </w:r>
      <w:r w:rsidR="000E76FA">
        <w:t>2023</w:t>
      </w:r>
      <w:r w:rsidR="00115F2E">
        <w:t xml:space="preserve"> </w:t>
      </w:r>
      <w:r w:rsidRPr="00B11576">
        <w:t>год –</w:t>
      </w:r>
      <w:r w:rsidR="00115F2E">
        <w:t xml:space="preserve"> </w:t>
      </w:r>
      <w:r w:rsidR="00B77476">
        <w:t>35,8</w:t>
      </w:r>
      <w:r w:rsidR="00115F2E">
        <w:t xml:space="preserve"> </w:t>
      </w:r>
      <w:r w:rsidRPr="00B11576">
        <w:t xml:space="preserve">тыс. руб. (темп роста </w:t>
      </w:r>
      <w:r>
        <w:t>10</w:t>
      </w:r>
      <w:r w:rsidR="00B77476">
        <w:t>5,4</w:t>
      </w:r>
      <w:r w:rsidRPr="00B11576">
        <w:t xml:space="preserve">%), на </w:t>
      </w:r>
      <w:r w:rsidR="000E76FA">
        <w:t>2024</w:t>
      </w:r>
      <w:r w:rsidRPr="00B11576">
        <w:t xml:space="preserve">год – </w:t>
      </w:r>
      <w:r w:rsidR="00B77476">
        <w:t>37,6</w:t>
      </w:r>
      <w:r w:rsidR="00115F2E">
        <w:t xml:space="preserve"> </w:t>
      </w:r>
      <w:r w:rsidRPr="00B11576">
        <w:t xml:space="preserve">тыс. руб. (темп роста </w:t>
      </w:r>
      <w:r w:rsidR="00B77476">
        <w:t>105,2</w:t>
      </w:r>
      <w:r w:rsidRPr="00B11576">
        <w:t xml:space="preserve">%), на </w:t>
      </w:r>
      <w:r w:rsidR="000E76FA">
        <w:t>2025</w:t>
      </w:r>
      <w:r w:rsidR="00115F2E">
        <w:t xml:space="preserve"> </w:t>
      </w:r>
      <w:r w:rsidRPr="00B11576">
        <w:t xml:space="preserve">год – </w:t>
      </w:r>
      <w:r w:rsidR="00B77476">
        <w:t>40,3</w:t>
      </w:r>
      <w:r w:rsidR="00115F2E">
        <w:t xml:space="preserve"> </w:t>
      </w:r>
      <w:r w:rsidRPr="00B11576">
        <w:t xml:space="preserve">тыс. руб. (темп роста </w:t>
      </w:r>
      <w:r w:rsidR="00B77476">
        <w:t>107,2</w:t>
      </w:r>
      <w:r w:rsidRPr="00B11576">
        <w:t xml:space="preserve">%).  </w:t>
      </w:r>
      <w:r w:rsidR="007A61BA">
        <w:t>Предпосылками роста средней заработной платы являются следующие факторы: рост минимального размера оплаты труда, который с 1 января 2023года Правительством Российской Федерации планируется утвердить в размере 16242руб. (рост к предыдущему МРОТ на 6,3%), рост заработной платы главы поселения</w:t>
      </w:r>
      <w:r w:rsidR="008312E6">
        <w:t xml:space="preserve"> на 11%</w:t>
      </w:r>
      <w:r w:rsidR="007A61BA">
        <w:t xml:space="preserve">, муниципальных служащих ориентировочно на 20-25% (в связи с изданием Указа Губернатора Иркутской области от 16.09.2022г. № 203-уг и изменением нормативов формирования ФОТ, утвержденных постановлением Правительства Иркутской области от 27.11.2014г. № 599-пп), ростом </w:t>
      </w:r>
      <w:r w:rsidR="008312E6">
        <w:t xml:space="preserve">заработной платы работников культуры (показатель дорожной карты на 2022год - </w:t>
      </w:r>
      <w:r w:rsidR="00AB0841">
        <w:t>44421</w:t>
      </w:r>
      <w:r w:rsidR="008312E6" w:rsidRPr="00AB0841">
        <w:t>руб</w:t>
      </w:r>
      <w:r w:rsidR="00AB0841">
        <w:t>.</w:t>
      </w:r>
      <w:r w:rsidR="008312E6">
        <w:t>, на 2023 год - 46642руб. Темп рос</w:t>
      </w:r>
      <w:r w:rsidR="008312E6" w:rsidRPr="00AB0841">
        <w:t>та</w:t>
      </w:r>
      <w:r w:rsidR="008312E6">
        <w:t xml:space="preserve"> - </w:t>
      </w:r>
      <w:r w:rsidR="00AB0841">
        <w:t>105%</w:t>
      </w:r>
      <w:r w:rsidR="008312E6">
        <w:t>).</w:t>
      </w:r>
      <w:r w:rsidR="00A47233">
        <w:t xml:space="preserve"> Вместе с тем следует отметить, что поскольку основная доля работающих - это работники сельского хозяйства (54% работающих), а в сельском хозяйстве темпы роста заработной платы ниже, чем, например, в бюджетной сфере, то и общие темпы роста средней заработной платы </w:t>
      </w:r>
      <w:r w:rsidR="00071AF4">
        <w:t>более сдержаны.</w:t>
      </w:r>
    </w:p>
    <w:p w14:paraId="2FC1758E" w14:textId="77777777" w:rsidR="001349AB" w:rsidRDefault="001349AB" w:rsidP="00D80372">
      <w:pPr>
        <w:jc w:val="center"/>
        <w:rPr>
          <w:b/>
        </w:rPr>
      </w:pPr>
    </w:p>
    <w:p w14:paraId="2BC78B59" w14:textId="304BBFD9" w:rsidR="00D80372" w:rsidRPr="009C6AE8" w:rsidRDefault="00D80372" w:rsidP="00D80372">
      <w:pPr>
        <w:jc w:val="center"/>
        <w:rPr>
          <w:b/>
        </w:rPr>
      </w:pPr>
      <w:r>
        <w:rPr>
          <w:b/>
        </w:rPr>
        <w:t xml:space="preserve">3. Проект бюджета Каразейского муниципального образования </w:t>
      </w:r>
      <w:r w:rsidRPr="009C6AE8">
        <w:rPr>
          <w:b/>
        </w:rPr>
        <w:t xml:space="preserve">на </w:t>
      </w:r>
      <w:r w:rsidR="000E76FA">
        <w:rPr>
          <w:b/>
        </w:rPr>
        <w:t>2023</w:t>
      </w:r>
      <w:r>
        <w:rPr>
          <w:b/>
        </w:rPr>
        <w:t xml:space="preserve"> </w:t>
      </w:r>
      <w:r w:rsidRPr="009C6AE8">
        <w:rPr>
          <w:b/>
        </w:rPr>
        <w:t>год</w:t>
      </w:r>
      <w:r>
        <w:rPr>
          <w:b/>
        </w:rPr>
        <w:t xml:space="preserve"> и на плановый период </w:t>
      </w:r>
      <w:r w:rsidR="000E76FA">
        <w:rPr>
          <w:b/>
        </w:rPr>
        <w:t>2024</w:t>
      </w:r>
      <w:r w:rsidR="00F62429">
        <w:rPr>
          <w:b/>
        </w:rPr>
        <w:t xml:space="preserve"> и </w:t>
      </w:r>
      <w:r w:rsidR="000E76FA">
        <w:rPr>
          <w:b/>
        </w:rPr>
        <w:t>2025</w:t>
      </w:r>
      <w:r>
        <w:rPr>
          <w:b/>
        </w:rPr>
        <w:t xml:space="preserve"> годов. </w:t>
      </w:r>
    </w:p>
    <w:p w14:paraId="2139A91B" w14:textId="7636E809" w:rsidR="00D80372" w:rsidRDefault="00D80372" w:rsidP="00D80372">
      <w:pPr>
        <w:ind w:firstLine="567"/>
        <w:jc w:val="both"/>
        <w:rPr>
          <w:color w:val="000000"/>
          <w:spacing w:val="-5"/>
        </w:rPr>
      </w:pPr>
      <w:r w:rsidRPr="00F8600A">
        <w:rPr>
          <w:color w:val="000000"/>
          <w:spacing w:val="-5"/>
        </w:rPr>
        <w:t xml:space="preserve">Формирование основных параметров </w:t>
      </w:r>
      <w:r>
        <w:rPr>
          <w:color w:val="000000"/>
          <w:spacing w:val="-5"/>
        </w:rPr>
        <w:t>местного</w:t>
      </w:r>
      <w:r w:rsidRPr="00F8600A">
        <w:rPr>
          <w:color w:val="000000"/>
          <w:spacing w:val="-5"/>
        </w:rPr>
        <w:t xml:space="preserve"> бюджета </w:t>
      </w:r>
      <w:r>
        <w:rPr>
          <w:color w:val="000000"/>
          <w:spacing w:val="-5"/>
        </w:rPr>
        <w:t>Каразейского поселения</w:t>
      </w:r>
      <w:r w:rsidRPr="00F8600A">
        <w:rPr>
          <w:color w:val="000000"/>
          <w:spacing w:val="-5"/>
        </w:rPr>
        <w:t xml:space="preserve"> на </w:t>
      </w:r>
      <w:r w:rsidR="000E76FA">
        <w:rPr>
          <w:color w:val="000000"/>
          <w:spacing w:val="-5"/>
        </w:rPr>
        <w:t>2023</w:t>
      </w:r>
      <w:r w:rsidRPr="00F8600A">
        <w:rPr>
          <w:color w:val="000000"/>
          <w:spacing w:val="-5"/>
        </w:rPr>
        <w:t xml:space="preserve"> год и на плановый период </w:t>
      </w:r>
      <w:r w:rsidR="000E76FA">
        <w:rPr>
          <w:color w:val="000000"/>
          <w:spacing w:val="-5"/>
        </w:rPr>
        <w:t>2024</w:t>
      </w:r>
      <w:r>
        <w:rPr>
          <w:color w:val="000000"/>
          <w:spacing w:val="-5"/>
        </w:rPr>
        <w:t xml:space="preserve"> и </w:t>
      </w:r>
      <w:r w:rsidR="000E76FA">
        <w:rPr>
          <w:color w:val="000000"/>
          <w:spacing w:val="-5"/>
        </w:rPr>
        <w:t>2025</w:t>
      </w:r>
      <w:r w:rsidRPr="00F8600A">
        <w:rPr>
          <w:color w:val="000000"/>
          <w:spacing w:val="-5"/>
        </w:rPr>
        <w:t xml:space="preserve"> годов осуществлено в соответствии с требованиями действующего бюджетного и</w:t>
      </w:r>
      <w:r>
        <w:rPr>
          <w:color w:val="000000"/>
          <w:spacing w:val="-5"/>
        </w:rPr>
        <w:t xml:space="preserve"> налогового законодательства,</w:t>
      </w:r>
      <w:r w:rsidRPr="00F8600A">
        <w:rPr>
          <w:color w:val="000000"/>
          <w:spacing w:val="-5"/>
        </w:rPr>
        <w:t xml:space="preserve"> также учтены ожидаемые параметры исполнения бюджета</w:t>
      </w:r>
      <w:r>
        <w:rPr>
          <w:color w:val="000000"/>
          <w:spacing w:val="-5"/>
        </w:rPr>
        <w:t xml:space="preserve"> поселения за 202</w:t>
      </w:r>
      <w:r w:rsidR="00B77476">
        <w:rPr>
          <w:color w:val="000000"/>
          <w:spacing w:val="-5"/>
        </w:rPr>
        <w:t>2</w:t>
      </w:r>
      <w:r>
        <w:rPr>
          <w:color w:val="000000"/>
          <w:spacing w:val="-5"/>
        </w:rPr>
        <w:t xml:space="preserve"> год. На очередной финансовый год и плановый период бюджет сформирован бездефицитный.</w:t>
      </w:r>
    </w:p>
    <w:p w14:paraId="3C192722" w14:textId="24BC9E88" w:rsidR="00D80372" w:rsidRPr="00416AC5" w:rsidRDefault="00D80372" w:rsidP="00D80372">
      <w:pPr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ab/>
      </w:r>
      <w:r w:rsidRPr="00416AC5">
        <w:rPr>
          <w:color w:val="000000"/>
          <w:spacing w:val="-5"/>
        </w:rPr>
        <w:t xml:space="preserve">Основные параметры бюджета поселения на </w:t>
      </w:r>
      <w:r w:rsidR="000E76FA">
        <w:rPr>
          <w:color w:val="000000"/>
          <w:spacing w:val="-5"/>
        </w:rPr>
        <w:t>2023</w:t>
      </w:r>
      <w:r w:rsidRPr="00416AC5">
        <w:rPr>
          <w:color w:val="000000"/>
          <w:spacing w:val="-5"/>
        </w:rPr>
        <w:t xml:space="preserve"> год и на плановый период сформированы в следующих объемах и представлены в таблице </w:t>
      </w:r>
      <w:r w:rsidR="00AC7894">
        <w:rPr>
          <w:color w:val="000000"/>
          <w:spacing w:val="-5"/>
        </w:rPr>
        <w:t>2</w:t>
      </w:r>
      <w:r w:rsidRPr="00416AC5">
        <w:rPr>
          <w:color w:val="000000"/>
          <w:spacing w:val="-5"/>
        </w:rPr>
        <w:t>.</w:t>
      </w:r>
    </w:p>
    <w:p w14:paraId="2BFF1147" w14:textId="6C905B78" w:rsidR="00D80372" w:rsidRPr="00416AC5" w:rsidRDefault="00D80372" w:rsidP="00D80372">
      <w:pPr>
        <w:ind w:left="4956" w:firstLine="708"/>
        <w:jc w:val="both"/>
        <w:rPr>
          <w:color w:val="000000"/>
          <w:spacing w:val="-5"/>
        </w:rPr>
      </w:pPr>
      <w:r w:rsidRPr="00416AC5">
        <w:rPr>
          <w:color w:val="000000"/>
          <w:spacing w:val="-5"/>
        </w:rPr>
        <w:lastRenderedPageBreak/>
        <w:t xml:space="preserve">                     Таблица №</w:t>
      </w:r>
      <w:r w:rsidR="00AC7894">
        <w:rPr>
          <w:color w:val="000000"/>
          <w:spacing w:val="-5"/>
        </w:rPr>
        <w:t xml:space="preserve"> 2</w:t>
      </w:r>
      <w:r w:rsidRPr="00416AC5">
        <w:rPr>
          <w:color w:val="000000"/>
          <w:spacing w:val="-5"/>
        </w:rPr>
        <w:t>, тыс. рублей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843"/>
      </w:tblGrid>
      <w:tr w:rsidR="00D80372" w:rsidRPr="00416AC5" w14:paraId="1F541CE6" w14:textId="77777777" w:rsidTr="000C5254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A708" w14:textId="77777777" w:rsidR="00D80372" w:rsidRPr="00416AC5" w:rsidRDefault="00D80372" w:rsidP="000C5254">
            <w:pPr>
              <w:ind w:firstLine="142"/>
              <w:jc w:val="center"/>
              <w:rPr>
                <w:b/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</w:rPr>
              <w:t>Основные параметры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E0BA" w14:textId="64840618" w:rsidR="00D80372" w:rsidRPr="00416AC5" w:rsidRDefault="000E76FA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2023</w:t>
            </w:r>
            <w:r w:rsidR="00D80372" w:rsidRPr="00416AC5">
              <w:rPr>
                <w:b/>
                <w:color w:val="000000"/>
                <w:spacing w:val="-5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4577" w14:textId="623EB3D0" w:rsidR="00D80372" w:rsidRPr="00416AC5" w:rsidRDefault="000E76FA" w:rsidP="00F62429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2024</w:t>
            </w:r>
            <w:r w:rsidR="00234580">
              <w:rPr>
                <w:b/>
                <w:color w:val="000000"/>
                <w:spacing w:val="-5"/>
              </w:rPr>
              <w:t xml:space="preserve"> </w:t>
            </w:r>
            <w:r w:rsidR="00D80372" w:rsidRPr="00416AC5">
              <w:rPr>
                <w:b/>
                <w:color w:val="000000"/>
                <w:spacing w:val="-5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6D8" w14:textId="584ACE38" w:rsidR="00D80372" w:rsidRPr="00416AC5" w:rsidRDefault="000E76FA" w:rsidP="00F62429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2025</w:t>
            </w:r>
            <w:r w:rsidR="00234580">
              <w:rPr>
                <w:b/>
                <w:color w:val="000000"/>
                <w:spacing w:val="-5"/>
              </w:rPr>
              <w:t xml:space="preserve"> </w:t>
            </w:r>
            <w:r w:rsidR="00D80372" w:rsidRPr="00416AC5">
              <w:rPr>
                <w:b/>
                <w:color w:val="000000"/>
                <w:spacing w:val="-5"/>
              </w:rPr>
              <w:t>год</w:t>
            </w:r>
          </w:p>
        </w:tc>
      </w:tr>
      <w:tr w:rsidR="00D80372" w:rsidRPr="00416AC5" w14:paraId="256398F6" w14:textId="77777777" w:rsidTr="000C5254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63C4" w14:textId="77777777"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  <w:sz w:val="22"/>
                <w:szCs w:val="22"/>
              </w:rPr>
              <w:t xml:space="preserve">Доходы, </w:t>
            </w:r>
            <w:r w:rsidRPr="00416AC5">
              <w:rPr>
                <w:color w:val="000000"/>
                <w:spacing w:val="-5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4999" w14:textId="658569F2" w:rsidR="00D80372" w:rsidRPr="00416AC5" w:rsidRDefault="00E3353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14955,5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1B91" w14:textId="070E1173" w:rsidR="00D80372" w:rsidRPr="00416AC5" w:rsidRDefault="00E3353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13319,4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713A" w14:textId="5B43306E" w:rsidR="00D80372" w:rsidRPr="00416AC5" w:rsidRDefault="00E3353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14550,9</w:t>
            </w:r>
          </w:p>
        </w:tc>
      </w:tr>
      <w:tr w:rsidR="00D80372" w:rsidRPr="00416AC5" w14:paraId="6B5AC64A" w14:textId="77777777" w:rsidTr="000C52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D581" w14:textId="77777777"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color w:val="000000"/>
                <w:spacing w:val="-5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A249" w14:textId="55947E0E" w:rsidR="00D80372" w:rsidRPr="00416AC5" w:rsidRDefault="00AC7894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4984,5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9E11" w14:textId="7A3FDB53" w:rsidR="00D80372" w:rsidRPr="00416AC5" w:rsidRDefault="00AC7894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5165,9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B9F5" w14:textId="53476D93" w:rsidR="00D80372" w:rsidRPr="00416AC5" w:rsidRDefault="00AC7894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5247,5</w:t>
            </w:r>
          </w:p>
        </w:tc>
      </w:tr>
      <w:tr w:rsidR="00D80372" w:rsidRPr="00416AC5" w14:paraId="6CE54F69" w14:textId="77777777" w:rsidTr="000C5254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005E" w14:textId="77777777"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color w:val="000000"/>
                <w:spacing w:val="-5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D6D1" w14:textId="34038C86" w:rsidR="00D80372" w:rsidRPr="00416AC5" w:rsidRDefault="00E3353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9971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BA0A" w14:textId="7DFDF764" w:rsidR="00D80372" w:rsidRPr="00416AC5" w:rsidRDefault="00E3353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8153,5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C841" w14:textId="6280E7ED" w:rsidR="00D80372" w:rsidRPr="00416AC5" w:rsidRDefault="00E3353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9303,4</w:t>
            </w:r>
          </w:p>
        </w:tc>
      </w:tr>
      <w:tr w:rsidR="00D80372" w:rsidRPr="00416AC5" w14:paraId="5D709E69" w14:textId="77777777" w:rsidTr="000C5254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5B44" w14:textId="77777777"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  <w:sz w:val="22"/>
                <w:szCs w:val="22"/>
              </w:rPr>
              <w:t>Расходы,</w:t>
            </w:r>
            <w:r w:rsidRPr="00416AC5">
              <w:rPr>
                <w:color w:val="000000"/>
                <w:spacing w:val="-5"/>
                <w:sz w:val="22"/>
                <w:szCs w:val="22"/>
              </w:rPr>
              <w:t xml:space="preserve">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1DBC" w14:textId="5D706860" w:rsidR="00D80372" w:rsidRPr="00416AC5" w:rsidRDefault="00E3353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14955,5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B3EE" w14:textId="536AED66" w:rsidR="00D80372" w:rsidRPr="00416AC5" w:rsidRDefault="00E3353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13319,4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640A" w14:textId="1EA1C795" w:rsidR="00D80372" w:rsidRPr="00416AC5" w:rsidRDefault="00E3353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14550,9</w:t>
            </w:r>
          </w:p>
        </w:tc>
      </w:tr>
      <w:tr w:rsidR="00D80372" w:rsidRPr="00416AC5" w14:paraId="6704E1D4" w14:textId="77777777" w:rsidTr="000C5254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06A0" w14:textId="77777777"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color w:val="000000"/>
                <w:spacing w:val="-5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F1DB" w14:textId="77777777"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2E35" w14:textId="1AEB5FD0" w:rsidR="00D80372" w:rsidRPr="00416AC5" w:rsidRDefault="00E33532" w:rsidP="00C84133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317,2</w:t>
            </w:r>
            <w:r w:rsidR="00D80372">
              <w:rPr>
                <w:color w:val="000000"/>
                <w:spacing w:val="-5"/>
              </w:rPr>
              <w:t xml:space="preserve"> </w:t>
            </w:r>
            <w:r w:rsidR="00D80372" w:rsidRPr="00404A25">
              <w:rPr>
                <w:color w:val="000000"/>
                <w:spacing w:val="-5"/>
              </w:rPr>
              <w:t>(2,</w:t>
            </w:r>
            <w:r w:rsidR="00D80372">
              <w:rPr>
                <w:color w:val="000000"/>
                <w:spacing w:val="-5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8450" w14:textId="5DC9F860" w:rsidR="00D80372" w:rsidRPr="00416AC5" w:rsidRDefault="00E3353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639</w:t>
            </w:r>
            <w:r w:rsidR="00D80372">
              <w:rPr>
                <w:color w:val="000000"/>
                <w:spacing w:val="-5"/>
              </w:rPr>
              <w:t xml:space="preserve"> (</w:t>
            </w:r>
            <w:r w:rsidR="00D80372" w:rsidRPr="00404A25">
              <w:rPr>
                <w:color w:val="000000"/>
                <w:spacing w:val="-5"/>
              </w:rPr>
              <w:t>5</w:t>
            </w:r>
            <w:r w:rsidR="00D80372">
              <w:rPr>
                <w:color w:val="000000"/>
                <w:spacing w:val="-5"/>
              </w:rPr>
              <w:t>)</w:t>
            </w:r>
          </w:p>
        </w:tc>
      </w:tr>
      <w:tr w:rsidR="00D80372" w:rsidRPr="00416AC5" w14:paraId="5C1129F9" w14:textId="77777777" w:rsidTr="000C5254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6A04" w14:textId="77777777"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  <w:sz w:val="22"/>
                <w:szCs w:val="22"/>
              </w:rPr>
              <w:t>Дефицит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F9C9" w14:textId="77777777"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8829" w14:textId="77777777"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555B" w14:textId="77777777"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</w:tr>
      <w:tr w:rsidR="00D80372" w:rsidRPr="00416AC5" w14:paraId="15E88CB8" w14:textId="77777777" w:rsidTr="000C5254"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0BDA" w14:textId="77777777"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  <w:sz w:val="22"/>
                <w:szCs w:val="22"/>
              </w:rPr>
              <w:t>Верхний предел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6E3A" w14:textId="77777777"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A493" w14:textId="77777777"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7ED6" w14:textId="77777777"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</w:tr>
    </w:tbl>
    <w:p w14:paraId="4C7A79A8" w14:textId="77777777" w:rsidR="00D80372" w:rsidRDefault="00185BF7" w:rsidP="00D80372">
      <w:pPr>
        <w:ind w:firstLine="567"/>
        <w:jc w:val="both"/>
      </w:pPr>
      <w:r>
        <w:t>В</w:t>
      </w:r>
      <w:r w:rsidR="00D80372">
        <w:t xml:space="preserve"> </w:t>
      </w:r>
      <w:r w:rsidR="00D80372" w:rsidRPr="00547510">
        <w:t xml:space="preserve">соответствии с п.3 ст. 81 БК РФ текстовой частью решения о бюджете установлен резервный фонд администрации </w:t>
      </w:r>
      <w:r w:rsidR="00D80372">
        <w:t>Каразейского</w:t>
      </w:r>
      <w:r w:rsidR="00D80372" w:rsidRPr="00547510">
        <w:t xml:space="preserve"> МО на каждый год планового периода в размере по </w:t>
      </w:r>
      <w:r w:rsidR="00D80372">
        <w:t>10</w:t>
      </w:r>
      <w:r w:rsidR="00E818E2">
        <w:t xml:space="preserve"> </w:t>
      </w:r>
      <w:r w:rsidR="00D80372" w:rsidRPr="00547510">
        <w:t>тыс. руб., что не превышает ограничений, установленных Бюджетным Кодексом (3% общего объема расходов). Устанавливаемый резервный фонд составляет 0,</w:t>
      </w:r>
      <w:r w:rsidR="00D80372">
        <w:t>1</w:t>
      </w:r>
      <w:r w:rsidR="00D80372" w:rsidRPr="00547510">
        <w:t>% общего объема ежегодных расходов местного бюджета.</w:t>
      </w:r>
    </w:p>
    <w:p w14:paraId="1199F7C1" w14:textId="13D51664" w:rsidR="00D80372" w:rsidRDefault="00D80372" w:rsidP="00D80372">
      <w:pPr>
        <w:ind w:firstLine="567"/>
        <w:jc w:val="both"/>
      </w:pPr>
      <w:r>
        <w:t>Пунктом 1</w:t>
      </w:r>
      <w:r w:rsidR="00AC7894">
        <w:t>0</w:t>
      </w:r>
      <w:r>
        <w:t xml:space="preserve"> текстовой части проекта </w:t>
      </w:r>
      <w:r w:rsidR="00AC7894">
        <w:t xml:space="preserve">решения Думы о </w:t>
      </w:r>
      <w:r>
        <w:t>бюджет</w:t>
      </w:r>
      <w:r w:rsidR="00AC7894">
        <w:t>е</w:t>
      </w:r>
      <w:r>
        <w:t xml:space="preserve"> предлагается утвердить объем бюджетных ассигнований дорожного фонда муниципального образования на </w:t>
      </w:r>
      <w:r w:rsidR="000E76FA">
        <w:t>2023</w:t>
      </w:r>
      <w:r>
        <w:t xml:space="preserve"> год и на плановый период </w:t>
      </w:r>
      <w:r w:rsidR="000E76FA">
        <w:t>2024</w:t>
      </w:r>
      <w:r w:rsidR="00A14B2A">
        <w:t>-</w:t>
      </w:r>
      <w:r w:rsidR="000E76FA">
        <w:t>2025</w:t>
      </w:r>
      <w:r>
        <w:t>гг. в размере прогнозируемых в соответствующем п</w:t>
      </w:r>
      <w:r w:rsidR="00B73A26">
        <w:t xml:space="preserve">ериоде акцизов на нефтепродукты: на </w:t>
      </w:r>
      <w:r w:rsidR="000E76FA">
        <w:t>2023</w:t>
      </w:r>
      <w:r w:rsidR="00B73A26">
        <w:t xml:space="preserve">г. – </w:t>
      </w:r>
      <w:r w:rsidR="00AC7894">
        <w:t>1188,5</w:t>
      </w:r>
      <w:r w:rsidR="00B73A26">
        <w:t xml:space="preserve"> тыс. руб., на </w:t>
      </w:r>
      <w:r w:rsidR="000E76FA">
        <w:t>2024</w:t>
      </w:r>
      <w:r w:rsidR="00B73A26">
        <w:t>г. – 1</w:t>
      </w:r>
      <w:r w:rsidR="00AC7894">
        <w:t>321</w:t>
      </w:r>
      <w:r w:rsidR="00B73A26">
        <w:t xml:space="preserve">,7 тыс. руб., на </w:t>
      </w:r>
      <w:r w:rsidR="000E76FA">
        <w:t>2025</w:t>
      </w:r>
      <w:r w:rsidR="00B73A26">
        <w:t xml:space="preserve">г. – </w:t>
      </w:r>
      <w:r w:rsidR="00AC7894">
        <w:t>1395,7</w:t>
      </w:r>
      <w:r w:rsidR="00B73A26">
        <w:t xml:space="preserve"> тыс. руб.</w:t>
      </w:r>
    </w:p>
    <w:p w14:paraId="70C8A988" w14:textId="2C7092D1" w:rsidR="00AC7894" w:rsidRDefault="00AC7894" w:rsidP="00D80372">
      <w:pPr>
        <w:ind w:firstLine="567"/>
        <w:jc w:val="both"/>
      </w:pPr>
      <w:r w:rsidRPr="00AC7894">
        <w:t xml:space="preserve">Пунктом 11 текстовой части проекта решения Думы о бюджете </w:t>
      </w:r>
      <w:r>
        <w:t>предлагается утвердить</w:t>
      </w:r>
      <w:r w:rsidRPr="00AC7894">
        <w:t xml:space="preserve"> верхний предел муниципального внутреннего долга с указанием в том числе верхнего предела долга по муниципальным гарантиям по состоянию на 1 января года, следующего за очередным финансовым годом и каждым годом планового периода в размере 0 рублей</w:t>
      </w:r>
      <w:r>
        <w:t>.</w:t>
      </w:r>
    </w:p>
    <w:p w14:paraId="5AC252CC" w14:textId="044F3529" w:rsidR="00D80372" w:rsidRDefault="00D80372" w:rsidP="00B73A26">
      <w:pPr>
        <w:ind w:firstLine="567"/>
        <w:jc w:val="both"/>
      </w:pPr>
      <w:r w:rsidRPr="00E332A3">
        <w:t xml:space="preserve">Пунктом </w:t>
      </w:r>
      <w:r>
        <w:t>1</w:t>
      </w:r>
      <w:r w:rsidR="00AC7894">
        <w:t>3</w:t>
      </w:r>
      <w:r>
        <w:t xml:space="preserve"> проекта </w:t>
      </w:r>
      <w:r w:rsidRPr="00C942EC">
        <w:t>решения о бюджете утвержд</w:t>
      </w:r>
      <w:r>
        <w:t>ается</w:t>
      </w:r>
      <w:r w:rsidRPr="00C942EC">
        <w:t xml:space="preserve"> программа муниципальных внутренних заимствований на </w:t>
      </w:r>
      <w:r w:rsidR="000E76FA">
        <w:t>2023</w:t>
      </w:r>
      <w:r>
        <w:t xml:space="preserve"> год и плановый период </w:t>
      </w:r>
      <w:r w:rsidR="000E76FA">
        <w:t>2024</w:t>
      </w:r>
      <w:r>
        <w:t xml:space="preserve"> и </w:t>
      </w:r>
      <w:r w:rsidR="000E76FA">
        <w:t>2025</w:t>
      </w:r>
      <w:r>
        <w:t xml:space="preserve"> годов</w:t>
      </w:r>
      <w:r w:rsidRPr="00C942EC">
        <w:t xml:space="preserve"> </w:t>
      </w:r>
      <w:r>
        <w:t>Каразейского</w:t>
      </w:r>
      <w:r w:rsidRPr="00C942EC">
        <w:t xml:space="preserve"> муниципального образования</w:t>
      </w:r>
      <w:r>
        <w:t xml:space="preserve">, из которой следует, что </w:t>
      </w:r>
      <w:r w:rsidR="005D43E8">
        <w:t>муниципальный долг на 01.01.</w:t>
      </w:r>
      <w:r w:rsidR="000E76FA">
        <w:t>2023</w:t>
      </w:r>
      <w:r>
        <w:t xml:space="preserve">г. отсутствует и привлекать заимствования не предполагается. </w:t>
      </w:r>
    </w:p>
    <w:p w14:paraId="6BEF31FA" w14:textId="3B8FBC15" w:rsidR="00D80372" w:rsidRDefault="00D80372" w:rsidP="00D80372">
      <w:pPr>
        <w:ind w:firstLine="540"/>
        <w:jc w:val="both"/>
      </w:pPr>
      <w:r>
        <w:t>В целом показатели проекта решения о бюджете соответствуют</w:t>
      </w:r>
      <w:r w:rsidRPr="00DC7904">
        <w:t xml:space="preserve">   установленным БК РФ принципам</w:t>
      </w:r>
      <w:r>
        <w:t xml:space="preserve"> сбалансированности бюджета (ст.33 БК РФ) и общего (совокупного) покрытия расходов бюджетов (ст.35 БК РФ). Бюджет сформирован бездефицитный. </w:t>
      </w:r>
      <w:r w:rsidRPr="00834F9E">
        <w:t xml:space="preserve">Верхний предел муниципального долга </w:t>
      </w:r>
      <w:r>
        <w:t>Каразейского</w:t>
      </w:r>
      <w:r w:rsidRPr="00834F9E">
        <w:t xml:space="preserve"> МО на 01.01.</w:t>
      </w:r>
      <w:r w:rsidR="000E76FA">
        <w:t>2024</w:t>
      </w:r>
      <w:r w:rsidRPr="00834F9E">
        <w:t>г.</w:t>
      </w:r>
      <w:r w:rsidR="00FE0BC2">
        <w:t>, на 01.01.</w:t>
      </w:r>
      <w:r w:rsidR="000E76FA">
        <w:t>2025</w:t>
      </w:r>
      <w:r w:rsidR="00FE0BC2">
        <w:t>г., на 01.01.202</w:t>
      </w:r>
      <w:r w:rsidR="00AC7894">
        <w:t>6</w:t>
      </w:r>
      <w:r>
        <w:t>г.</w:t>
      </w:r>
      <w:r w:rsidRPr="00834F9E">
        <w:t xml:space="preserve"> предусмотрен </w:t>
      </w:r>
      <w:r>
        <w:t xml:space="preserve">нулевой. </w:t>
      </w:r>
      <w:r w:rsidRPr="00834F9E">
        <w:t xml:space="preserve">Требования к размеру резервного фонда администрации поселения соблюдены (п. 3 ст. 81 БК РФ), объему бюджетных ассигнований Дорожного фонда поселения соблюдены (п. </w:t>
      </w:r>
      <w:r>
        <w:t>5</w:t>
      </w:r>
      <w:r w:rsidRPr="00834F9E">
        <w:t xml:space="preserve"> ст</w:t>
      </w:r>
      <w:r>
        <w:t>. 179.4 БК РФ)</w:t>
      </w:r>
      <w:r w:rsidR="00AC7894">
        <w:t>,</w:t>
      </w:r>
      <w:r w:rsidR="00AC7894" w:rsidRPr="00AC7894">
        <w:t xml:space="preserve"> к объему условно утверждаемых расходов </w:t>
      </w:r>
      <w:r w:rsidR="00AC7894">
        <w:t xml:space="preserve">соблюдены </w:t>
      </w:r>
      <w:r w:rsidR="00AC7894" w:rsidRPr="00AC7894">
        <w:t>(п. 3 ст. 184.1 БК РФ).</w:t>
      </w:r>
    </w:p>
    <w:p w14:paraId="525D23CD" w14:textId="77777777" w:rsidR="00D80372" w:rsidRDefault="00D80372" w:rsidP="00D80372">
      <w:pPr>
        <w:jc w:val="center"/>
        <w:rPr>
          <w:b/>
        </w:rPr>
      </w:pPr>
    </w:p>
    <w:p w14:paraId="5A336389" w14:textId="77777777" w:rsidR="00D80372" w:rsidRPr="00F97F63" w:rsidRDefault="00D80372" w:rsidP="00D80372">
      <w:pPr>
        <w:jc w:val="center"/>
        <w:rPr>
          <w:b/>
        </w:rPr>
      </w:pPr>
      <w:r>
        <w:rPr>
          <w:b/>
        </w:rPr>
        <w:t>3</w:t>
      </w:r>
      <w:r w:rsidRPr="009C6AE8">
        <w:rPr>
          <w:b/>
        </w:rPr>
        <w:t xml:space="preserve">.1. </w:t>
      </w:r>
      <w:r w:rsidRPr="00F97F63">
        <w:rPr>
          <w:b/>
        </w:rPr>
        <w:t xml:space="preserve">Характеристика проекта бюджета </w:t>
      </w:r>
      <w:r>
        <w:rPr>
          <w:b/>
        </w:rPr>
        <w:t xml:space="preserve">Каразейского </w:t>
      </w:r>
      <w:r w:rsidRPr="00F97F63">
        <w:rPr>
          <w:b/>
        </w:rPr>
        <w:t>МО по доходам</w:t>
      </w:r>
    </w:p>
    <w:p w14:paraId="007E6679" w14:textId="076C4951" w:rsidR="00D80372" w:rsidRDefault="00D80372" w:rsidP="00D80372">
      <w:pPr>
        <w:jc w:val="center"/>
        <w:rPr>
          <w:b/>
        </w:rPr>
      </w:pPr>
      <w:r w:rsidRPr="00F97F63">
        <w:rPr>
          <w:b/>
        </w:rPr>
        <w:t xml:space="preserve">на </w:t>
      </w:r>
      <w:r w:rsidR="000E76FA">
        <w:rPr>
          <w:b/>
        </w:rPr>
        <w:t>2023</w:t>
      </w:r>
      <w:r w:rsidRPr="00F97F63">
        <w:rPr>
          <w:b/>
        </w:rPr>
        <w:t xml:space="preserve"> год и плановый период </w:t>
      </w:r>
      <w:r w:rsidR="000E76FA">
        <w:rPr>
          <w:b/>
        </w:rPr>
        <w:t>2024</w:t>
      </w:r>
      <w:r w:rsidRPr="00F97F63">
        <w:rPr>
          <w:b/>
        </w:rPr>
        <w:t>-</w:t>
      </w:r>
      <w:r w:rsidR="000E76FA">
        <w:rPr>
          <w:b/>
        </w:rPr>
        <w:t>2025</w:t>
      </w:r>
      <w:r w:rsidRPr="00F97F63">
        <w:rPr>
          <w:b/>
        </w:rPr>
        <w:t>гг.</w:t>
      </w:r>
    </w:p>
    <w:p w14:paraId="0C2DF26C" w14:textId="5F98C1F3" w:rsidR="00D80372" w:rsidRPr="000C6D6B" w:rsidRDefault="00D80372" w:rsidP="00D80372">
      <w:pPr>
        <w:ind w:firstLine="567"/>
        <w:jc w:val="both"/>
      </w:pPr>
      <w:r>
        <w:t>Формирование доходной части бюджета му</w:t>
      </w:r>
      <w:r w:rsidR="001D2DB7">
        <w:t xml:space="preserve">ниципального образования на </w:t>
      </w:r>
      <w:r w:rsidR="000E76FA">
        <w:t>2023</w:t>
      </w:r>
      <w:r w:rsidR="001D2DB7">
        <w:t xml:space="preserve"> год и на плановый период </w:t>
      </w:r>
      <w:r w:rsidR="000E76FA">
        <w:t>2024</w:t>
      </w:r>
      <w:r w:rsidR="001D2DB7">
        <w:t xml:space="preserve"> и </w:t>
      </w:r>
      <w:r w:rsidR="000E76FA">
        <w:t>2025</w:t>
      </w:r>
      <w:r>
        <w:t xml:space="preserve"> годов осуществлено с учетом ожидаемых поступлений</w:t>
      </w:r>
      <w:r w:rsidR="001D2DB7">
        <w:t xml:space="preserve"> налогов и других платежей в 20</w:t>
      </w:r>
      <w:r w:rsidR="00B73A26">
        <w:t>2</w:t>
      </w:r>
      <w:r w:rsidR="00AC7894">
        <w:t>2</w:t>
      </w:r>
      <w:r>
        <w:t xml:space="preserve"> году. </w:t>
      </w:r>
    </w:p>
    <w:p w14:paraId="59B9D121" w14:textId="24F959D8" w:rsidR="00D80372" w:rsidRDefault="00D80372" w:rsidP="00D80372">
      <w:pPr>
        <w:jc w:val="both"/>
      </w:pPr>
      <w:r>
        <w:tab/>
        <w:t>Основные характ</w:t>
      </w:r>
      <w:r w:rsidR="001D2DB7">
        <w:t xml:space="preserve">еристики доходов бюджета на </w:t>
      </w:r>
      <w:r w:rsidR="000E76FA">
        <w:t>2023</w:t>
      </w:r>
      <w:r w:rsidR="001D2DB7">
        <w:t>-</w:t>
      </w:r>
      <w:r w:rsidR="000E76FA">
        <w:t>2025</w:t>
      </w:r>
      <w:r>
        <w:t xml:space="preserve"> годов представлены в таблице № </w:t>
      </w:r>
      <w:r w:rsidR="00AC7894">
        <w:t>3</w:t>
      </w:r>
      <w:r>
        <w:t>.</w:t>
      </w:r>
    </w:p>
    <w:p w14:paraId="4898D7A9" w14:textId="30AEF94C" w:rsidR="00D80372" w:rsidRDefault="00D80372" w:rsidP="00D8037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№ </w:t>
      </w:r>
      <w:r w:rsidR="00AC7894">
        <w:t>3</w:t>
      </w:r>
      <w:r>
        <w:t>, тыс. руб.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992"/>
        <w:gridCol w:w="1134"/>
        <w:gridCol w:w="992"/>
        <w:gridCol w:w="993"/>
        <w:gridCol w:w="1134"/>
        <w:gridCol w:w="1134"/>
        <w:gridCol w:w="1134"/>
      </w:tblGrid>
      <w:tr w:rsidR="00D80372" w:rsidRPr="00416AC5" w14:paraId="0EF4F6F8" w14:textId="77777777" w:rsidTr="000C5254">
        <w:trPr>
          <w:trHeight w:val="7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982" w14:textId="77777777" w:rsidR="00D80372" w:rsidRPr="005868B8" w:rsidRDefault="00D80372" w:rsidP="000C5254">
            <w:pPr>
              <w:jc w:val="center"/>
              <w:rPr>
                <w:b/>
                <w:sz w:val="20"/>
                <w:szCs w:val="20"/>
              </w:rPr>
            </w:pPr>
          </w:p>
          <w:p w14:paraId="628ED545" w14:textId="77777777" w:rsidR="00D80372" w:rsidRPr="005868B8" w:rsidRDefault="00D80372" w:rsidP="000C5254">
            <w:pPr>
              <w:jc w:val="center"/>
              <w:rPr>
                <w:b/>
                <w:sz w:val="20"/>
                <w:szCs w:val="20"/>
              </w:rPr>
            </w:pPr>
            <w:r w:rsidRPr="005868B8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9821" w14:textId="77777777" w:rsidR="00D80372" w:rsidRPr="005868B8" w:rsidRDefault="00D80372" w:rsidP="000C5254">
            <w:pPr>
              <w:jc w:val="center"/>
              <w:rPr>
                <w:b/>
                <w:sz w:val="18"/>
                <w:szCs w:val="18"/>
              </w:rPr>
            </w:pPr>
          </w:p>
          <w:p w14:paraId="2510D839" w14:textId="2256592B" w:rsidR="00D80372" w:rsidRPr="005868B8" w:rsidRDefault="00D80372" w:rsidP="000C5254">
            <w:pPr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Оценка </w:t>
            </w:r>
            <w:r w:rsidR="00BA1FCD">
              <w:rPr>
                <w:b/>
                <w:sz w:val="18"/>
                <w:szCs w:val="18"/>
              </w:rPr>
              <w:t>202</w:t>
            </w:r>
            <w:r w:rsidR="00404A25">
              <w:rPr>
                <w:b/>
                <w:sz w:val="18"/>
                <w:szCs w:val="18"/>
              </w:rPr>
              <w:t>2</w:t>
            </w:r>
          </w:p>
          <w:p w14:paraId="1243B8F5" w14:textId="77777777" w:rsidR="00D80372" w:rsidRPr="005868B8" w:rsidRDefault="00D80372" w:rsidP="000C52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5F6" w14:textId="1067DCF9" w:rsidR="00D80372" w:rsidRPr="005868B8" w:rsidRDefault="00D80372" w:rsidP="00BA1FC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Проект </w:t>
            </w:r>
            <w:r w:rsidR="000E76FA">
              <w:rPr>
                <w:b/>
                <w:sz w:val="18"/>
                <w:szCs w:val="18"/>
              </w:rPr>
              <w:t>2023</w:t>
            </w:r>
            <w:r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98BA" w14:textId="1D2FA534" w:rsidR="00D80372" w:rsidRDefault="000E76FA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="00D80372" w:rsidRPr="005868B8">
              <w:rPr>
                <w:b/>
                <w:sz w:val="18"/>
                <w:szCs w:val="18"/>
              </w:rPr>
              <w:t>/</w:t>
            </w:r>
          </w:p>
          <w:p w14:paraId="6E991A05" w14:textId="67B2E3D8" w:rsidR="00D80372" w:rsidRDefault="00BA1FCD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404A25">
              <w:rPr>
                <w:b/>
                <w:sz w:val="18"/>
                <w:szCs w:val="18"/>
              </w:rPr>
              <w:t>2</w:t>
            </w:r>
          </w:p>
          <w:p w14:paraId="028814CD" w14:textId="77777777" w:rsidR="00D80372" w:rsidRPr="005868B8" w:rsidRDefault="00D80372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AE00" w14:textId="2CEC387B" w:rsidR="00D80372" w:rsidRPr="005868B8" w:rsidRDefault="00D80372" w:rsidP="000C52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Прогноз </w:t>
            </w:r>
            <w:r w:rsidR="000E76FA">
              <w:rPr>
                <w:b/>
                <w:sz w:val="18"/>
                <w:szCs w:val="18"/>
              </w:rPr>
              <w:t>2024</w:t>
            </w:r>
            <w:r w:rsidRPr="005868B8">
              <w:rPr>
                <w:b/>
                <w:sz w:val="18"/>
                <w:szCs w:val="18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1250" w14:textId="1B2248A3" w:rsidR="00D80372" w:rsidRDefault="000E76FA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  <w:r w:rsidR="00D80372" w:rsidRPr="005868B8">
              <w:rPr>
                <w:b/>
                <w:sz w:val="18"/>
                <w:szCs w:val="18"/>
              </w:rPr>
              <w:t>/</w:t>
            </w:r>
          </w:p>
          <w:p w14:paraId="280D6F84" w14:textId="31151CD1" w:rsidR="00D80372" w:rsidRDefault="000E76FA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 w14:paraId="267BD660" w14:textId="77777777" w:rsidR="00D80372" w:rsidRPr="005868B8" w:rsidRDefault="00D80372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D5EC" w14:textId="737B21E8" w:rsidR="00D80372" w:rsidRPr="005868B8" w:rsidRDefault="00D80372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Прогноз </w:t>
            </w:r>
            <w:r w:rsidR="000E76FA">
              <w:rPr>
                <w:b/>
                <w:sz w:val="18"/>
                <w:szCs w:val="18"/>
              </w:rPr>
              <w:t>2025</w:t>
            </w:r>
            <w:r w:rsidRPr="005868B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AFA7" w14:textId="408812AA" w:rsidR="00D80372" w:rsidRDefault="000E76FA" w:rsidP="000C52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  <w:r w:rsidR="00D80372">
              <w:rPr>
                <w:b/>
                <w:sz w:val="18"/>
                <w:szCs w:val="18"/>
              </w:rPr>
              <w:t>/</w:t>
            </w:r>
          </w:p>
          <w:p w14:paraId="7A216950" w14:textId="4F5CB824" w:rsidR="00D80372" w:rsidRDefault="000E76FA" w:rsidP="000C52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  <w:r w:rsidR="00D80372">
              <w:rPr>
                <w:b/>
                <w:sz w:val="18"/>
                <w:szCs w:val="18"/>
              </w:rPr>
              <w:t xml:space="preserve"> </w:t>
            </w:r>
          </w:p>
          <w:p w14:paraId="6ED2257C" w14:textId="77777777" w:rsidR="00D80372" w:rsidRPr="005868B8" w:rsidRDefault="00D80372" w:rsidP="000C52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D80372" w:rsidRPr="00416AC5" w14:paraId="1438EEE2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161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 w:rsidRPr="00416AC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34E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B61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9E1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44B5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EE6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DCDF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D26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30BE7" w:rsidRPr="00416AC5" w14:paraId="7BFA31C7" w14:textId="77777777" w:rsidTr="000C5254">
        <w:trPr>
          <w:trHeight w:val="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10CB" w14:textId="7D3F8E03" w:rsidR="00230BE7" w:rsidRPr="00416AC5" w:rsidRDefault="00230BE7" w:rsidP="00230B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1A87" w14:textId="76C5097D" w:rsidR="00230BE7" w:rsidRPr="00416AC5" w:rsidRDefault="00230BE7" w:rsidP="00230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A4A2" w14:textId="015014C3" w:rsidR="00230BE7" w:rsidRPr="00416AC5" w:rsidRDefault="00230BE7" w:rsidP="00230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8A6E" w14:textId="111A9056" w:rsidR="00230BE7" w:rsidRPr="00416AC5" w:rsidRDefault="00C138CD" w:rsidP="00230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84E9" w14:textId="27A7DF70" w:rsidR="00230BE7" w:rsidRPr="00416AC5" w:rsidRDefault="00230BE7" w:rsidP="00230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CEA9" w14:textId="79CAE500" w:rsidR="00230BE7" w:rsidRPr="00416AC5" w:rsidRDefault="00C6715B" w:rsidP="00230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1871" w14:textId="42AEBA99" w:rsidR="00230BE7" w:rsidRPr="00416AC5" w:rsidRDefault="00230BE7" w:rsidP="00230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6205" w14:textId="325D50A1" w:rsidR="00230BE7" w:rsidRPr="00416AC5" w:rsidRDefault="00C6715B" w:rsidP="00230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</w:t>
            </w:r>
          </w:p>
        </w:tc>
      </w:tr>
      <w:tr w:rsidR="00230BE7" w:rsidRPr="00416AC5" w14:paraId="6EC602D1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8F0" w14:textId="77777777" w:rsidR="00230BE7" w:rsidRPr="00416AC5" w:rsidRDefault="00230BE7" w:rsidP="00230BE7">
            <w:pPr>
              <w:jc w:val="both"/>
              <w:rPr>
                <w:b/>
                <w:i/>
                <w:sz w:val="20"/>
                <w:szCs w:val="20"/>
              </w:rPr>
            </w:pPr>
            <w:r w:rsidRPr="00416AC5">
              <w:rPr>
                <w:b/>
                <w:i/>
                <w:sz w:val="20"/>
                <w:szCs w:val="20"/>
              </w:rPr>
              <w:t>в том числе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CC96" w14:textId="6AE0E668" w:rsidR="00230BE7" w:rsidRPr="00416AC5" w:rsidRDefault="00230BE7" w:rsidP="00230B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8AE" w14:textId="62A2E465" w:rsidR="00230BE7" w:rsidRPr="00416AC5" w:rsidRDefault="00230BE7" w:rsidP="00230B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7485" w14:textId="096D07ED" w:rsidR="00230BE7" w:rsidRPr="00416AC5" w:rsidRDefault="00C138CD" w:rsidP="00230B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EF15" w14:textId="18ABE717" w:rsidR="00230BE7" w:rsidRPr="00416AC5" w:rsidRDefault="00C6715B" w:rsidP="00230B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A729" w14:textId="4F1CBF07" w:rsidR="00230BE7" w:rsidRPr="00416AC5" w:rsidRDefault="00C6715B" w:rsidP="00230B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203" w14:textId="5A9BD7C2" w:rsidR="00230BE7" w:rsidRPr="00416AC5" w:rsidRDefault="00C6715B" w:rsidP="00230B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5049" w14:textId="42A155BC" w:rsidR="00230BE7" w:rsidRPr="00416AC5" w:rsidRDefault="00C6715B" w:rsidP="00230B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101,6</w:t>
            </w:r>
          </w:p>
        </w:tc>
      </w:tr>
      <w:tr w:rsidR="00230BE7" w:rsidRPr="00416AC5" w14:paraId="1B173E2B" w14:textId="77777777" w:rsidTr="000C5254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742" w14:textId="77777777" w:rsidR="00230BE7" w:rsidRPr="00416AC5" w:rsidRDefault="00230BE7" w:rsidP="0023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НДФЛ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4838" w14:textId="48EA63B8" w:rsidR="00230BE7" w:rsidRPr="00416AC5" w:rsidRDefault="00230BE7" w:rsidP="00230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4CA2" w14:textId="4A7B4354" w:rsidR="00230BE7" w:rsidRPr="00416AC5" w:rsidRDefault="00230BE7" w:rsidP="00230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B6D9" w14:textId="0F42B721" w:rsidR="00230BE7" w:rsidRPr="00416AC5" w:rsidRDefault="00C138CD" w:rsidP="00230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6E10" w14:textId="14251A7F" w:rsidR="00230BE7" w:rsidRPr="00416AC5" w:rsidRDefault="00230BE7" w:rsidP="00230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1D60" w14:textId="0C24F5BD" w:rsidR="00230BE7" w:rsidRPr="00416AC5" w:rsidRDefault="00C6715B" w:rsidP="00230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C33E" w14:textId="44394D48" w:rsidR="00230BE7" w:rsidRPr="00416AC5" w:rsidRDefault="00230BE7" w:rsidP="00230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36B" w14:textId="77777777" w:rsidR="00230BE7" w:rsidRPr="00416AC5" w:rsidRDefault="00230BE7" w:rsidP="00230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D80372" w:rsidRPr="00416AC5" w14:paraId="484F133C" w14:textId="77777777" w:rsidTr="000C5254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97B" w14:textId="77777777" w:rsidR="00D80372" w:rsidRPr="00416AC5" w:rsidRDefault="00D80372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ЕСХН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96EC" w14:textId="2E14B24A" w:rsidR="00D80372" w:rsidRDefault="00404A2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C382" w14:textId="4BF61517" w:rsidR="00D80372" w:rsidRPr="00416AC5" w:rsidRDefault="00EF79C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4218" w14:textId="5607A54B" w:rsidR="00D80372" w:rsidRPr="00416AC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73D4" w14:textId="27C29D6F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4F15" w14:textId="6343C72D" w:rsidR="00D80372" w:rsidRPr="00416AC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B8C" w14:textId="28A06FDB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7611" w14:textId="77777777" w:rsidR="00D80372" w:rsidRPr="00416AC5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14:paraId="306FF123" w14:textId="77777777" w:rsidTr="000C5254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D352" w14:textId="77777777" w:rsidR="00D80372" w:rsidRPr="00416AC5" w:rsidRDefault="00D80372" w:rsidP="000C5254">
            <w:pPr>
              <w:rPr>
                <w:sz w:val="20"/>
                <w:szCs w:val="20"/>
              </w:rPr>
            </w:pPr>
            <w:r w:rsidRPr="00416AC5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A132" w14:textId="52FBA427" w:rsidR="00D80372" w:rsidRPr="00416AC5" w:rsidRDefault="00404A2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BBAE" w14:textId="5E3226C2" w:rsidR="00D80372" w:rsidRPr="00416AC5" w:rsidRDefault="00136A61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C4C0" w14:textId="13E473AB" w:rsidR="00D80372" w:rsidRPr="00416AC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B89E" w14:textId="6761CA5E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4816" w14:textId="6A0F2527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0CC" w14:textId="49DA0E79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C8D" w14:textId="77777777" w:rsidR="00D80372" w:rsidRPr="00416AC5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14:paraId="2D42B2BB" w14:textId="77777777" w:rsidTr="000C5254">
        <w:trPr>
          <w:trHeight w:val="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58E" w14:textId="77777777" w:rsidR="00D80372" w:rsidRPr="00416AC5" w:rsidRDefault="00D80372" w:rsidP="000C5254">
            <w:pPr>
              <w:rPr>
                <w:sz w:val="20"/>
                <w:szCs w:val="20"/>
              </w:rPr>
            </w:pPr>
            <w:r w:rsidRPr="00416AC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0A43" w14:textId="423C83F7" w:rsidR="00D80372" w:rsidRPr="00416AC5" w:rsidRDefault="00404A2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5F5E" w14:textId="76B1CC2D" w:rsidR="00D80372" w:rsidRPr="00416AC5" w:rsidRDefault="00136A61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6760" w14:textId="0CE4F78F" w:rsidR="00D80372" w:rsidRPr="00416AC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99A2" w14:textId="2B610202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8177" w14:textId="7089D0EE" w:rsidR="00D80372" w:rsidRPr="00416AC5" w:rsidRDefault="00C6715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931C" w14:textId="7BAC080A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40D" w14:textId="77777777" w:rsidR="00D80372" w:rsidRPr="00416AC5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14:paraId="37BFE26A" w14:textId="77777777" w:rsidTr="000C5254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B02" w14:textId="54DBBB5F" w:rsidR="00D80372" w:rsidRPr="00416AC5" w:rsidRDefault="00D80372" w:rsidP="000C5254">
            <w:pPr>
              <w:rPr>
                <w:sz w:val="20"/>
                <w:szCs w:val="20"/>
              </w:rPr>
            </w:pPr>
            <w:r w:rsidRPr="00416AC5">
              <w:rPr>
                <w:sz w:val="20"/>
                <w:szCs w:val="20"/>
              </w:rPr>
              <w:t>Доходы от уплаты акцизов по подакцизным товарам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C15" w14:textId="748EEDD0" w:rsidR="00D80372" w:rsidRPr="00416AC5" w:rsidRDefault="00404A2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6AF4" w14:textId="472C9F02" w:rsidR="00D80372" w:rsidRPr="00416AC5" w:rsidRDefault="00EF79C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466" w14:textId="2F54F9D4" w:rsidR="00D80372" w:rsidRPr="00416AC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218B" w14:textId="100EEAC6" w:rsidR="00D80372" w:rsidRPr="00416AC5" w:rsidRDefault="00230BE7" w:rsidP="0058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A99" w14:textId="72B63C82" w:rsidR="00D80372" w:rsidRPr="00416AC5" w:rsidRDefault="00C6715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35EF" w14:textId="084284E8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04E" w14:textId="7E14314B" w:rsidR="00D80372" w:rsidRPr="00416AC5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715B">
              <w:rPr>
                <w:sz w:val="20"/>
                <w:szCs w:val="20"/>
              </w:rPr>
              <w:t>5,6</w:t>
            </w:r>
          </w:p>
        </w:tc>
      </w:tr>
      <w:tr w:rsidR="00D80372" w:rsidRPr="00416AC5" w14:paraId="1C05DFF2" w14:textId="77777777" w:rsidTr="000C5254">
        <w:trPr>
          <w:trHeight w:val="3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C92" w14:textId="77777777" w:rsidR="00D80372" w:rsidRPr="00416AC5" w:rsidRDefault="00D80372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127E" w14:textId="269F7240" w:rsidR="00D80372" w:rsidRPr="00416AC5" w:rsidRDefault="00404A2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5E" w14:textId="368204E9" w:rsidR="00D80372" w:rsidRPr="00416AC5" w:rsidRDefault="00136A61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D96" w14:textId="4577D4D6" w:rsidR="00D80372" w:rsidRPr="00416AC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B56D" w14:textId="3FA2B78E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D996" w14:textId="15F90F55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11CD" w14:textId="136800A7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C2A" w14:textId="77777777" w:rsidR="00D80372" w:rsidRPr="00416AC5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870B6" w14:paraId="3DBFB596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1298" w14:textId="77777777" w:rsidR="00D80372" w:rsidRPr="00416AC5" w:rsidRDefault="00D80372" w:rsidP="000C5254">
            <w:pPr>
              <w:rPr>
                <w:b/>
                <w:i/>
                <w:sz w:val="20"/>
                <w:szCs w:val="20"/>
              </w:rPr>
            </w:pPr>
            <w:r w:rsidRPr="00416AC5">
              <w:rPr>
                <w:b/>
                <w:i/>
                <w:sz w:val="20"/>
                <w:szCs w:val="20"/>
              </w:rPr>
              <w:t xml:space="preserve">неналоговые доходы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1639" w14:textId="5AB4495E" w:rsidR="00D80372" w:rsidRPr="00416AC5" w:rsidRDefault="00404A25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9412" w14:textId="247A63E7" w:rsidR="00D80372" w:rsidRPr="00416AC5" w:rsidRDefault="00136A61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710B" w14:textId="76D16265" w:rsidR="00D80372" w:rsidRPr="00416AC5" w:rsidRDefault="00C6715B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B29A" w14:textId="583DF47F" w:rsidR="00D80372" w:rsidRPr="00416AC5" w:rsidRDefault="00C6715B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7E4F" w14:textId="06711CE3" w:rsidR="00D80372" w:rsidRPr="00416AC5" w:rsidRDefault="00C6715B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77AA" w14:textId="45082314" w:rsidR="00D80372" w:rsidRPr="005870B6" w:rsidRDefault="00C6715B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BDE" w14:textId="77777777" w:rsidR="00D80372" w:rsidRPr="005870B6" w:rsidRDefault="00EA2035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D80372" w:rsidRPr="005870B6" w14:paraId="3691E36F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F55" w14:textId="0CB0068E" w:rsidR="00D80372" w:rsidRPr="00CE680A" w:rsidRDefault="00D80372" w:rsidP="000C5254">
            <w:pPr>
              <w:ind w:right="-108"/>
              <w:rPr>
                <w:sz w:val="20"/>
                <w:szCs w:val="20"/>
              </w:rPr>
            </w:pPr>
            <w:r w:rsidRPr="00CE680A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аренды имущества, находящегося в мунип. собственности</w:t>
            </w:r>
            <w:r w:rsidRPr="00CE6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39E6" w14:textId="5A7E0AE5" w:rsidR="00D80372" w:rsidRPr="00727518" w:rsidRDefault="00404A2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F683" w14:textId="58E82FB7" w:rsidR="00D80372" w:rsidRPr="00727518" w:rsidRDefault="00136A61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BDC8" w14:textId="57DA0A1E" w:rsidR="00D80372" w:rsidRPr="00727518" w:rsidRDefault="00C6715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725A" w14:textId="19E202E3" w:rsidR="00D80372" w:rsidRPr="00727518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E417" w14:textId="794DE219" w:rsidR="00D80372" w:rsidRPr="00727518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0C1D" w14:textId="4839FAAF" w:rsidR="00D80372" w:rsidRPr="00727518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280" w14:textId="77777777" w:rsidR="00D80372" w:rsidRPr="00727518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14:paraId="253648C9" w14:textId="77777777" w:rsidTr="000C5254">
        <w:trPr>
          <w:trHeight w:val="5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63D" w14:textId="77777777" w:rsidR="00D80372" w:rsidRPr="00416AC5" w:rsidRDefault="00D80372" w:rsidP="000C5254">
            <w:pPr>
              <w:rPr>
                <w:sz w:val="20"/>
                <w:szCs w:val="20"/>
              </w:rPr>
            </w:pPr>
            <w:bookmarkStart w:id="2" w:name="_GoBack"/>
            <w:bookmarkEnd w:id="2"/>
            <w:r w:rsidRPr="00416AC5"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A17" w14:textId="0E2F2375" w:rsidR="00D80372" w:rsidRPr="00416AC5" w:rsidRDefault="00404A2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C95" w14:textId="40268D8B" w:rsidR="00D80372" w:rsidRPr="00416AC5" w:rsidRDefault="00136A61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ED01" w14:textId="43B25B68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2724" w14:textId="6805B618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5983" w14:textId="25717765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AA5E" w14:textId="09FC6F43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9F54" w14:textId="77777777" w:rsidR="00D80372" w:rsidRPr="00416AC5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14:paraId="13CAE014" w14:textId="77777777" w:rsidTr="000C5254">
        <w:trPr>
          <w:trHeight w:val="5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16BF" w14:textId="57F81D4C" w:rsidR="00D80372" w:rsidRPr="00416AC5" w:rsidRDefault="00D80372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компенсации затрат бюджета посел.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5B0D" w14:textId="4E17DAC4" w:rsidR="00D80372" w:rsidRDefault="00404A2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EE5F" w14:textId="64DB5E45" w:rsidR="00D80372" w:rsidRPr="00416AC5" w:rsidRDefault="00136A61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7486" w14:textId="6C8F5AC1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137F" w14:textId="23170210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A850" w14:textId="10889D43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A8E1" w14:textId="5B398558" w:rsidR="00D80372" w:rsidRPr="00416AC5" w:rsidRDefault="00230BE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92D6" w14:textId="77777777" w:rsidR="00D80372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14:paraId="1411CA31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BEA" w14:textId="472F7C3B" w:rsidR="00D80372" w:rsidRPr="00416AC5" w:rsidRDefault="00404A25" w:rsidP="000C52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  <w:r w:rsidR="00D80372">
              <w:rPr>
                <w:b/>
                <w:sz w:val="20"/>
                <w:szCs w:val="20"/>
              </w:rPr>
              <w:t>, в т.ч.</w:t>
            </w:r>
            <w:r w:rsidR="00D80372" w:rsidRPr="00416A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A93E" w14:textId="05B83ABE" w:rsidR="00D80372" w:rsidRPr="00416AC5" w:rsidRDefault="00404A2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8550" w14:textId="1DC3CE9D" w:rsidR="00D80372" w:rsidRPr="00416AC5" w:rsidRDefault="00136A61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4D70" w14:textId="33C6518D" w:rsidR="00D80372" w:rsidRPr="00416AC5" w:rsidRDefault="00C6715B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B9CC" w14:textId="5F807CAE" w:rsidR="00D80372" w:rsidRPr="00416AC5" w:rsidRDefault="00C138CD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78A" w14:textId="32DE298F" w:rsidR="00D80372" w:rsidRPr="00416AC5" w:rsidRDefault="00C6715B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5092" w14:textId="4A220319" w:rsidR="00D80372" w:rsidRPr="00416AC5" w:rsidRDefault="00C138CD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90C" w14:textId="550DC47A" w:rsidR="00D80372" w:rsidRPr="00416AC5" w:rsidRDefault="00C6715B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114,1</w:t>
            </w:r>
          </w:p>
        </w:tc>
      </w:tr>
      <w:tr w:rsidR="00070925" w:rsidRPr="00416AC5" w14:paraId="758754A8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828F" w14:textId="77777777" w:rsidR="00070925" w:rsidRPr="00070925" w:rsidRDefault="00070925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9BD" w14:textId="44A5AA8E" w:rsidR="00070925" w:rsidRPr="00070925" w:rsidRDefault="00EF79C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D91" w14:textId="7EF4ED06" w:rsidR="00070925" w:rsidRPr="00070925" w:rsidRDefault="00136A61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CF93" w14:textId="2E88B21C" w:rsidR="00070925" w:rsidRPr="00070925" w:rsidRDefault="00C6715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0375" w14:textId="5D108D80" w:rsidR="00070925" w:rsidRPr="0007092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7D2B" w14:textId="33E6AAA9" w:rsidR="00070925" w:rsidRPr="00070925" w:rsidRDefault="00C6715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00C" w14:textId="72BA0EA1" w:rsidR="00070925" w:rsidRPr="0007092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E364" w14:textId="40B28359" w:rsidR="00070925" w:rsidRPr="00070925" w:rsidRDefault="00C6715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070925" w:rsidRPr="00416AC5" w14:paraId="53E149DF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F5C" w14:textId="77777777" w:rsidR="00070925" w:rsidRPr="00070925" w:rsidRDefault="00070925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3FD9" w14:textId="191515D1" w:rsidR="00070925" w:rsidRPr="00070925" w:rsidRDefault="00EF79C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6975" w14:textId="09D9D174" w:rsidR="00070925" w:rsidRPr="00070925" w:rsidRDefault="00136A61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90A2" w14:textId="4205D2B1" w:rsidR="00070925" w:rsidRPr="00070925" w:rsidRDefault="00C6715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7C9B" w14:textId="461D0DCB" w:rsidR="00070925" w:rsidRPr="0007092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1368" w14:textId="449F0895" w:rsidR="00070925" w:rsidRPr="00070925" w:rsidRDefault="00C6715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7977" w14:textId="776C5F13" w:rsidR="00070925" w:rsidRPr="0007092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874D" w14:textId="03636E19" w:rsidR="00070925" w:rsidRPr="00070925" w:rsidRDefault="00C6715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3,8 раза</w:t>
            </w:r>
          </w:p>
        </w:tc>
      </w:tr>
      <w:tr w:rsidR="00070925" w:rsidRPr="00416AC5" w14:paraId="1645B0B6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2FF" w14:textId="77777777" w:rsidR="00070925" w:rsidRPr="00070925" w:rsidRDefault="00070925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3218" w14:textId="1EB26C26" w:rsidR="00070925" w:rsidRPr="00070925" w:rsidRDefault="00EF79C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71B3" w14:textId="1AC30C2A" w:rsidR="00070925" w:rsidRPr="00070925" w:rsidRDefault="00136A61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B599" w14:textId="15A795E0" w:rsidR="00070925" w:rsidRPr="00070925" w:rsidRDefault="00C6715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114" w14:textId="0B06D6E3" w:rsidR="00070925" w:rsidRPr="0007092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594" w14:textId="311B5039" w:rsidR="00070925" w:rsidRPr="00070925" w:rsidRDefault="00C6715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DC63" w14:textId="09BA14F9" w:rsidR="00070925" w:rsidRPr="0007092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91D7" w14:textId="058299C9" w:rsidR="00070925" w:rsidRPr="00070925" w:rsidRDefault="008B68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</w:t>
            </w:r>
            <w:r w:rsidR="00C6715B">
              <w:rPr>
                <w:sz w:val="20"/>
                <w:szCs w:val="20"/>
              </w:rPr>
              <w:t>9</w:t>
            </w:r>
          </w:p>
        </w:tc>
      </w:tr>
      <w:tr w:rsidR="00404A25" w:rsidRPr="00416AC5" w14:paraId="7502E80D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741" w14:textId="5D4A44C1" w:rsidR="00404A25" w:rsidRDefault="00404A25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5EC0" w14:textId="6A837606" w:rsidR="00404A25" w:rsidRPr="00070925" w:rsidRDefault="00404A2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D70D" w14:textId="47B6690B" w:rsidR="00404A25" w:rsidRPr="00070925" w:rsidRDefault="00136A61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C565" w14:textId="42C34443" w:rsidR="00404A25" w:rsidRPr="0007092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8BF6" w14:textId="581E93D5" w:rsidR="00404A25" w:rsidRPr="0007092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0ECB" w14:textId="281A35E3" w:rsidR="00404A25" w:rsidRPr="0007092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64F3" w14:textId="10920156" w:rsidR="00404A25" w:rsidRPr="0007092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AAFF" w14:textId="4C49F8BD" w:rsidR="00404A25" w:rsidRDefault="00C138C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372" w:rsidRPr="00416AC5" w14:paraId="26507E84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429" w14:textId="77777777" w:rsidR="00D80372" w:rsidRPr="00416AC5" w:rsidRDefault="00D80372" w:rsidP="000C5254">
            <w:pPr>
              <w:jc w:val="both"/>
              <w:rPr>
                <w:b/>
                <w:sz w:val="20"/>
                <w:szCs w:val="20"/>
              </w:rPr>
            </w:pPr>
            <w:r w:rsidRPr="00416AC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8BA8" w14:textId="0E6468A3" w:rsidR="00D80372" w:rsidRPr="00416AC5" w:rsidRDefault="00EF79C7" w:rsidP="000C525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7FCE" w14:textId="7C97A723" w:rsidR="00D80372" w:rsidRPr="00416AC5" w:rsidRDefault="00136A61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B828" w14:textId="2B673043" w:rsidR="00D80372" w:rsidRPr="00416AC5" w:rsidRDefault="00C6715B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AD2" w14:textId="43E0E900" w:rsidR="00D80372" w:rsidRPr="00416AC5" w:rsidRDefault="00C138CD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B088" w14:textId="3158EC8C" w:rsidR="00D80372" w:rsidRPr="00416AC5" w:rsidRDefault="00C6715B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2DDE" w14:textId="5C5364D4" w:rsidR="00D80372" w:rsidRPr="00416AC5" w:rsidRDefault="00C138CD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7D08" w14:textId="7B55791C" w:rsidR="00D80372" w:rsidRPr="00416AC5" w:rsidRDefault="00C6715B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109,2</w:t>
            </w:r>
          </w:p>
        </w:tc>
      </w:tr>
    </w:tbl>
    <w:p w14:paraId="791242ED" w14:textId="57B89356" w:rsidR="00343B2D" w:rsidRPr="00C6715B" w:rsidRDefault="007A238F" w:rsidP="00252763">
      <w:pPr>
        <w:autoSpaceDE w:val="0"/>
        <w:autoSpaceDN w:val="0"/>
        <w:adjustRightInd w:val="0"/>
        <w:ind w:firstLine="567"/>
        <w:jc w:val="both"/>
      </w:pPr>
      <w:r w:rsidRPr="00C6715B">
        <w:t>Как видно из таблицы, в сравнении с ожидаемым исполнением доходной части бюджета в 202</w:t>
      </w:r>
      <w:r w:rsidR="00972D90">
        <w:t>2</w:t>
      </w:r>
      <w:r w:rsidRPr="00C6715B">
        <w:t xml:space="preserve"> году, </w:t>
      </w:r>
      <w:r w:rsidRPr="00C6715B">
        <w:rPr>
          <w:u w:val="single"/>
        </w:rPr>
        <w:t xml:space="preserve">на </w:t>
      </w:r>
      <w:r w:rsidR="000E76FA" w:rsidRPr="00C6715B">
        <w:rPr>
          <w:u w:val="single"/>
        </w:rPr>
        <w:t>2023</w:t>
      </w:r>
      <w:r w:rsidRPr="00C6715B">
        <w:rPr>
          <w:u w:val="single"/>
        </w:rPr>
        <w:t xml:space="preserve"> год </w:t>
      </w:r>
      <w:r w:rsidRPr="00C6715B">
        <w:t xml:space="preserve">прогнозируется снижение доходов бюджета </w:t>
      </w:r>
      <w:r w:rsidR="004551A8" w:rsidRPr="00C6715B">
        <w:t xml:space="preserve">на </w:t>
      </w:r>
      <w:r w:rsidR="0084306A">
        <w:t>26,6</w:t>
      </w:r>
      <w:r w:rsidR="004551A8" w:rsidRPr="00C6715B">
        <w:t>%</w:t>
      </w:r>
      <w:r w:rsidR="001D45F6" w:rsidRPr="00C6715B">
        <w:t xml:space="preserve">, или на </w:t>
      </w:r>
      <w:r w:rsidR="0084306A">
        <w:t>5415,4</w:t>
      </w:r>
      <w:r w:rsidR="001D45F6" w:rsidRPr="00C6715B">
        <w:t xml:space="preserve"> тыс. руб., в том числе за счет снижения безвозмездных поступлений на </w:t>
      </w:r>
      <w:r w:rsidR="0084306A">
        <w:t>5469,6</w:t>
      </w:r>
      <w:r w:rsidR="001D45F6" w:rsidRPr="00C6715B">
        <w:t xml:space="preserve"> тыс. руб., или на </w:t>
      </w:r>
      <w:r w:rsidR="0084306A">
        <w:t>35,4</w:t>
      </w:r>
      <w:r w:rsidR="001D45F6" w:rsidRPr="00C6715B">
        <w:t>%</w:t>
      </w:r>
      <w:r w:rsidR="0084306A">
        <w:t>. При этом прогнозируется рост</w:t>
      </w:r>
      <w:r w:rsidR="001D45F6" w:rsidRPr="00C6715B">
        <w:t xml:space="preserve"> налоговы</w:t>
      </w:r>
      <w:r w:rsidR="0084306A">
        <w:t>х</w:t>
      </w:r>
      <w:r w:rsidR="001D45F6" w:rsidRPr="00C6715B">
        <w:t xml:space="preserve"> доход</w:t>
      </w:r>
      <w:r w:rsidR="0084306A">
        <w:t>ов</w:t>
      </w:r>
      <w:r w:rsidR="001D45F6" w:rsidRPr="00C6715B">
        <w:t xml:space="preserve"> на </w:t>
      </w:r>
      <w:r w:rsidR="0084306A">
        <w:t>34,2</w:t>
      </w:r>
      <w:r w:rsidR="001D45F6" w:rsidRPr="00C6715B">
        <w:t xml:space="preserve"> тыс. руб., или</w:t>
      </w:r>
      <w:r w:rsidR="001D45F6">
        <w:rPr>
          <w:rFonts w:ascii="TimesNewRomanPSMT" w:hAnsi="TimesNewRomanPSMT" w:cs="TimesNewRomanPSMT"/>
        </w:rPr>
        <w:t xml:space="preserve"> на </w:t>
      </w:r>
      <w:r w:rsidR="0084306A">
        <w:rPr>
          <w:rFonts w:ascii="TimesNewRomanPSMT" w:hAnsi="TimesNewRomanPSMT" w:cs="TimesNewRomanPSMT"/>
        </w:rPr>
        <w:t>0,7</w:t>
      </w:r>
      <w:r w:rsidR="001D45F6">
        <w:rPr>
          <w:rFonts w:ascii="TimesNewRomanPSMT" w:hAnsi="TimesNewRomanPSMT" w:cs="TimesNewRomanPSMT"/>
        </w:rPr>
        <w:t xml:space="preserve">%, </w:t>
      </w:r>
      <w:r w:rsidR="001D45F6" w:rsidRPr="00C6715B">
        <w:t>неналоговы</w:t>
      </w:r>
      <w:r w:rsidR="0084306A">
        <w:t>х</w:t>
      </w:r>
      <w:r w:rsidR="001D45F6" w:rsidRPr="00C6715B">
        <w:t xml:space="preserve"> до</w:t>
      </w:r>
      <w:r w:rsidR="007815AE" w:rsidRPr="00C6715B">
        <w:t>ход</w:t>
      </w:r>
      <w:r w:rsidR="0084306A">
        <w:t>ов -</w:t>
      </w:r>
      <w:r w:rsidR="007815AE" w:rsidRPr="00C6715B">
        <w:t xml:space="preserve"> на </w:t>
      </w:r>
      <w:r w:rsidR="0084306A">
        <w:t>26,7</w:t>
      </w:r>
      <w:r w:rsidR="007815AE" w:rsidRPr="00C6715B">
        <w:t xml:space="preserve"> %, или на </w:t>
      </w:r>
      <w:r w:rsidR="0084306A">
        <w:t>20</w:t>
      </w:r>
      <w:r w:rsidR="007815AE" w:rsidRPr="00C6715B">
        <w:t xml:space="preserve"> тыс. руб.</w:t>
      </w:r>
    </w:p>
    <w:p w14:paraId="4C9E680C" w14:textId="5DE2EE28" w:rsidR="007815AE" w:rsidRPr="00C6715B" w:rsidRDefault="00252763" w:rsidP="00252763">
      <w:pPr>
        <w:autoSpaceDE w:val="0"/>
        <w:autoSpaceDN w:val="0"/>
        <w:adjustRightInd w:val="0"/>
        <w:ind w:firstLine="567"/>
        <w:jc w:val="both"/>
      </w:pPr>
      <w:r w:rsidRPr="00C6715B">
        <w:t xml:space="preserve">В </w:t>
      </w:r>
      <w:r w:rsidR="000E76FA" w:rsidRPr="00C6715B">
        <w:t>2024</w:t>
      </w:r>
      <w:r w:rsidRPr="00C6715B">
        <w:t xml:space="preserve"> году по отношению к прогнозу </w:t>
      </w:r>
      <w:r w:rsidR="000E76FA" w:rsidRPr="00C6715B">
        <w:t>2023</w:t>
      </w:r>
      <w:r w:rsidRPr="00C6715B">
        <w:t xml:space="preserve"> года рост налоговых доходов составит </w:t>
      </w:r>
      <w:r w:rsidR="003D63AB">
        <w:t>3</w:t>
      </w:r>
      <w:r w:rsidRPr="00C6715B">
        <w:t>,7%, неналоговых доходов рост</w:t>
      </w:r>
      <w:r w:rsidR="003D63AB">
        <w:t>а не</w:t>
      </w:r>
      <w:r w:rsidRPr="00C6715B">
        <w:t xml:space="preserve"> ожидается</w:t>
      </w:r>
      <w:r w:rsidR="003D63AB">
        <w:t>,</w:t>
      </w:r>
      <w:r w:rsidRPr="00C6715B">
        <w:t xml:space="preserve"> безвозмездных </w:t>
      </w:r>
      <w:r w:rsidR="001230F0" w:rsidRPr="00C6715B">
        <w:t xml:space="preserve">поступлений </w:t>
      </w:r>
      <w:r w:rsidRPr="00C6715B">
        <w:t xml:space="preserve">ожидается снижение на </w:t>
      </w:r>
      <w:r w:rsidR="003D63AB">
        <w:t>18</w:t>
      </w:r>
      <w:r w:rsidRPr="00C6715B">
        <w:t>%.</w:t>
      </w:r>
      <w:r w:rsidR="00D759EA" w:rsidRPr="00C6715B">
        <w:t xml:space="preserve"> Предполагается, что налоговые и неналоговые доходы поступят в </w:t>
      </w:r>
      <w:r w:rsidR="000E76FA" w:rsidRPr="00C6715B">
        <w:t>2024</w:t>
      </w:r>
      <w:r w:rsidR="00D759EA" w:rsidRPr="00C6715B">
        <w:t xml:space="preserve"> году в объеме </w:t>
      </w:r>
      <w:r w:rsidR="003D63AB">
        <w:t>5165,9</w:t>
      </w:r>
      <w:r w:rsidR="00D759EA" w:rsidRPr="00C6715B">
        <w:t xml:space="preserve"> тыс. руб. и составят 38,</w:t>
      </w:r>
      <w:r w:rsidR="003D63AB">
        <w:t>8</w:t>
      </w:r>
      <w:r w:rsidR="00D759EA" w:rsidRPr="00C6715B">
        <w:t xml:space="preserve">% в общем объеме доходов бюджета. Объем безвозмездных поступлений </w:t>
      </w:r>
      <w:r w:rsidR="001230F0" w:rsidRPr="00C6715B">
        <w:t xml:space="preserve">на </w:t>
      </w:r>
      <w:r w:rsidR="000E76FA" w:rsidRPr="00C6715B">
        <w:t>2024</w:t>
      </w:r>
      <w:r w:rsidR="001230F0" w:rsidRPr="00C6715B">
        <w:t xml:space="preserve"> год ожидается в размере </w:t>
      </w:r>
      <w:r w:rsidR="003D63AB">
        <w:t>8153,5</w:t>
      </w:r>
      <w:r w:rsidR="001230F0" w:rsidRPr="00C6715B">
        <w:t xml:space="preserve"> тыс. руб., что составит 61,</w:t>
      </w:r>
      <w:r w:rsidR="003D63AB">
        <w:t>2</w:t>
      </w:r>
      <w:r w:rsidR="001230F0" w:rsidRPr="00C6715B">
        <w:t>% в общих объемах доходов.</w:t>
      </w:r>
    </w:p>
    <w:p w14:paraId="740A6834" w14:textId="410A0609" w:rsidR="00D80372" w:rsidRDefault="00D80372" w:rsidP="00D80372">
      <w:pPr>
        <w:ind w:firstLine="567"/>
        <w:jc w:val="both"/>
      </w:pPr>
      <w:r w:rsidRPr="00C6715B">
        <w:tab/>
        <w:t xml:space="preserve">На </w:t>
      </w:r>
      <w:r w:rsidR="000E76FA" w:rsidRPr="00C6715B">
        <w:t>2025</w:t>
      </w:r>
      <w:r w:rsidRPr="00C6715B">
        <w:t xml:space="preserve"> год прогнозируется рост налоговых доходов на </w:t>
      </w:r>
      <w:r w:rsidR="003D63AB">
        <w:t>1,6</w:t>
      </w:r>
      <w:r w:rsidRPr="00C6715B">
        <w:t>% по сравнению с</w:t>
      </w:r>
      <w:r>
        <w:t xml:space="preserve"> предыдущим годом, неналоговые доходы ожидаются на том же уровне, а безвозмездные поступле</w:t>
      </w:r>
      <w:r w:rsidR="00BE3F53">
        <w:t xml:space="preserve">ния </w:t>
      </w:r>
      <w:r>
        <w:t xml:space="preserve">– с </w:t>
      </w:r>
      <w:r w:rsidR="001230F0">
        <w:t xml:space="preserve">ростом </w:t>
      </w:r>
      <w:r>
        <w:t xml:space="preserve">на </w:t>
      </w:r>
      <w:r w:rsidR="003D63AB">
        <w:t>14,1</w:t>
      </w:r>
      <w:r>
        <w:t>%</w:t>
      </w:r>
      <w:r w:rsidR="008B6835">
        <w:t>.</w:t>
      </w:r>
      <w:r>
        <w:t xml:space="preserve"> Предполагается, что налоговые и не</w:t>
      </w:r>
      <w:r w:rsidR="00482114">
        <w:t xml:space="preserve">налоговые доходы поступят в </w:t>
      </w:r>
      <w:r w:rsidR="000E76FA">
        <w:t>2025</w:t>
      </w:r>
      <w:r>
        <w:t xml:space="preserve"> году в объеме </w:t>
      </w:r>
      <w:r w:rsidR="003D63AB">
        <w:t>5247,5</w:t>
      </w:r>
      <w:r w:rsidR="00482114">
        <w:t xml:space="preserve"> </w:t>
      </w:r>
      <w:r>
        <w:t xml:space="preserve">тыс. рублей и составят </w:t>
      </w:r>
      <w:r w:rsidR="003D63AB">
        <w:t>36</w:t>
      </w:r>
      <w:r>
        <w:t xml:space="preserve">% в общем объеме доходов бюджета. Объем безвозмездных поступлений на </w:t>
      </w:r>
      <w:r w:rsidR="000E76FA">
        <w:t>2025</w:t>
      </w:r>
      <w:r>
        <w:t xml:space="preserve"> год ожидается в размере </w:t>
      </w:r>
      <w:r w:rsidR="003D63AB">
        <w:t>9303,4</w:t>
      </w:r>
      <w:r w:rsidR="00482114">
        <w:t xml:space="preserve"> </w:t>
      </w:r>
      <w:r>
        <w:t xml:space="preserve">тыс. рублей, что составит </w:t>
      </w:r>
      <w:r w:rsidR="003D63AB">
        <w:t>64</w:t>
      </w:r>
      <w:r>
        <w:t xml:space="preserve">% в общих объемах доходов. </w:t>
      </w:r>
    </w:p>
    <w:p w14:paraId="4E4C768B" w14:textId="40EF833D" w:rsidR="00D80372" w:rsidRDefault="00D80372" w:rsidP="00D80372">
      <w:pPr>
        <w:ind w:firstLine="567"/>
        <w:jc w:val="both"/>
      </w:pPr>
      <w:r w:rsidRPr="00D45402">
        <w:t>В трехлетней перспективе структура доходов бюджета Каразейского МО относительно стабильна</w:t>
      </w:r>
      <w:r w:rsidR="00175AB8">
        <w:t xml:space="preserve">, </w:t>
      </w:r>
      <w:r w:rsidR="00175AB8" w:rsidRPr="00175AB8">
        <w:t>традиционно преобладают безвозмездные поступления, что сохранит зависимость бюджета поселения от поступающих межбюджетных трансфертов.</w:t>
      </w:r>
      <w:r w:rsidRPr="00D45402">
        <w:t xml:space="preserve"> Налоговые и неналоговые доходы в бюджете в </w:t>
      </w:r>
      <w:r>
        <w:t>202</w:t>
      </w:r>
      <w:r w:rsidR="003D63AB">
        <w:t>2</w:t>
      </w:r>
      <w:r w:rsidRPr="00D45402">
        <w:t xml:space="preserve"> году </w:t>
      </w:r>
      <w:r w:rsidR="00232282">
        <w:t xml:space="preserve">составят </w:t>
      </w:r>
      <w:r w:rsidR="003D63AB">
        <w:t>24,2</w:t>
      </w:r>
      <w:r w:rsidRPr="00D45402">
        <w:t xml:space="preserve">%, в </w:t>
      </w:r>
      <w:r w:rsidR="000E76FA">
        <w:t>2023</w:t>
      </w:r>
      <w:r w:rsidRPr="00D45402">
        <w:t xml:space="preserve"> году – </w:t>
      </w:r>
      <w:r w:rsidR="003D63AB">
        <w:t>33,3</w:t>
      </w:r>
      <w:r w:rsidRPr="00D45402">
        <w:t xml:space="preserve">%, в </w:t>
      </w:r>
      <w:r w:rsidR="000E76FA">
        <w:t>2024</w:t>
      </w:r>
      <w:r w:rsidRPr="00D45402">
        <w:t xml:space="preserve"> году –</w:t>
      </w:r>
      <w:r w:rsidR="004E27E6">
        <w:t xml:space="preserve"> 38,</w:t>
      </w:r>
      <w:r w:rsidR="003D63AB">
        <w:t>8</w:t>
      </w:r>
      <w:r w:rsidR="004E27E6">
        <w:t>%</w:t>
      </w:r>
      <w:r w:rsidRPr="00D45402">
        <w:t xml:space="preserve">, в </w:t>
      </w:r>
      <w:r w:rsidR="000E76FA">
        <w:t>2025</w:t>
      </w:r>
      <w:r w:rsidRPr="00D45402">
        <w:t xml:space="preserve"> году – </w:t>
      </w:r>
      <w:r w:rsidR="003D63AB">
        <w:t>36,1</w:t>
      </w:r>
      <w:r w:rsidRPr="00D45402">
        <w:t xml:space="preserve">%. </w:t>
      </w:r>
      <w:r w:rsidR="00273E70">
        <w:t xml:space="preserve">Следует заметить, что </w:t>
      </w:r>
      <w:r w:rsidR="009E1196">
        <w:t>рост или спад удель</w:t>
      </w:r>
      <w:r w:rsidR="007F2BA6">
        <w:t>ного веса налоговых и неналоговых доходов в сумме доходов бюджета поселения происходит, в основном</w:t>
      </w:r>
      <w:r w:rsidR="003D63AB">
        <w:t>,</w:t>
      </w:r>
      <w:r w:rsidR="007F2BA6">
        <w:t xml:space="preserve"> за счет значительных изменений объемов безвозмездных поступлений.</w:t>
      </w:r>
      <w:r w:rsidRPr="00D45402">
        <w:t xml:space="preserve"> Безвозмездные поступления, в составе которых только межбюджетные трансферты, составляют более половины объема доходной базы </w:t>
      </w:r>
      <w:r>
        <w:t>м</w:t>
      </w:r>
      <w:r w:rsidR="004E27E6">
        <w:t xml:space="preserve">естного бюджета, а именно </w:t>
      </w:r>
      <w:r w:rsidRPr="00D45402">
        <w:t xml:space="preserve">в </w:t>
      </w:r>
      <w:r w:rsidR="000E76FA">
        <w:t>2023</w:t>
      </w:r>
      <w:r w:rsidRPr="00D45402">
        <w:t>г. –</w:t>
      </w:r>
      <w:r>
        <w:t>7</w:t>
      </w:r>
      <w:r w:rsidR="004E27E6">
        <w:t>0,8</w:t>
      </w:r>
      <w:r w:rsidRPr="00D45402">
        <w:t xml:space="preserve">% и </w:t>
      </w:r>
      <w:r w:rsidR="000E76FA">
        <w:t>2024</w:t>
      </w:r>
      <w:r w:rsidRPr="00D45402">
        <w:t xml:space="preserve">г. – </w:t>
      </w:r>
      <w:r w:rsidR="004E27E6">
        <w:t>61,8</w:t>
      </w:r>
      <w:r w:rsidRPr="00D45402">
        <w:t xml:space="preserve">%, в </w:t>
      </w:r>
      <w:r w:rsidR="000E76FA">
        <w:t>2025</w:t>
      </w:r>
      <w:r w:rsidRPr="00D45402">
        <w:t xml:space="preserve">г. – </w:t>
      </w:r>
      <w:r w:rsidR="004E27E6">
        <w:t>76,1</w:t>
      </w:r>
      <w:r w:rsidRPr="00D45402">
        <w:t>%.</w:t>
      </w:r>
    </w:p>
    <w:p w14:paraId="666CA2D0" w14:textId="723C2431" w:rsidR="00D80372" w:rsidRDefault="00D80372" w:rsidP="00D80372">
      <w:pPr>
        <w:ind w:firstLine="567"/>
        <w:jc w:val="both"/>
      </w:pPr>
      <w:r>
        <w:t xml:space="preserve">Структура доходов бюджета Каразейского </w:t>
      </w:r>
      <w:r w:rsidR="007F2BA6">
        <w:t>муниципального образования в 2020</w:t>
      </w:r>
      <w:r>
        <w:t>-</w:t>
      </w:r>
      <w:r w:rsidR="000E76FA">
        <w:t>2025</w:t>
      </w:r>
      <w:r>
        <w:t xml:space="preserve"> годах представлена на рисунке № 1.</w:t>
      </w:r>
    </w:p>
    <w:p w14:paraId="70AEEA1D" w14:textId="7165DF1C" w:rsidR="00D80372" w:rsidRDefault="00D80372" w:rsidP="00D80372">
      <w:pPr>
        <w:jc w:val="both"/>
      </w:pPr>
      <w:r>
        <w:rPr>
          <w:noProof/>
        </w:rPr>
        <w:lastRenderedPageBreak/>
        <w:drawing>
          <wp:inline distT="0" distB="0" distL="0" distR="0" wp14:anchorId="6157EA39" wp14:editId="7AAAFD2B">
            <wp:extent cx="6000750" cy="21050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43085">
        <w:t xml:space="preserve"> </w:t>
      </w:r>
      <w:r>
        <w:tab/>
      </w:r>
      <w:r w:rsidRPr="00A43085">
        <w:t xml:space="preserve">Из представленного рисунка видно, что наибольший объем безвозмездных поступлений </w:t>
      </w:r>
      <w:r w:rsidR="00175AB8">
        <w:t>был</w:t>
      </w:r>
      <w:r w:rsidRPr="00A43085">
        <w:t xml:space="preserve"> в </w:t>
      </w:r>
      <w:r w:rsidR="000F7668">
        <w:t>2021</w:t>
      </w:r>
      <w:r w:rsidRPr="00A43085">
        <w:t xml:space="preserve"> году. Безвозмездные поступления являются основой формирования доходной базы поселения. Налоговые доходы относительно стабильны, а неналоговые поступления незначительны.</w:t>
      </w:r>
    </w:p>
    <w:p w14:paraId="343F2630" w14:textId="6EBCA7ED" w:rsidR="00D80372" w:rsidRDefault="00D80372" w:rsidP="004326F1">
      <w:pPr>
        <w:jc w:val="center"/>
        <w:rPr>
          <w:b/>
          <w:u w:val="single"/>
        </w:rPr>
      </w:pPr>
      <w:r w:rsidRPr="00C354F2">
        <w:rPr>
          <w:b/>
          <w:u w:val="single"/>
        </w:rPr>
        <w:t>Налоговые доходы бюджета поселения</w:t>
      </w:r>
    </w:p>
    <w:p w14:paraId="1F921C41" w14:textId="6ABC2325" w:rsidR="00175AB8" w:rsidRDefault="00175AB8" w:rsidP="00D80372">
      <w:pPr>
        <w:ind w:firstLine="567"/>
        <w:jc w:val="both"/>
      </w:pPr>
      <w:r w:rsidRPr="00175AB8">
        <w:t>Прогноз налоговых доходов сформирован с учетом динамики фактических поступлений за 202</w:t>
      </w:r>
      <w:r>
        <w:t>2</w:t>
      </w:r>
      <w:r w:rsidRPr="00175AB8">
        <w:t xml:space="preserve"> год, прогноза социально-экономического развития на 202</w:t>
      </w:r>
      <w:r>
        <w:t>3</w:t>
      </w:r>
      <w:r w:rsidRPr="00175AB8">
        <w:t xml:space="preserve"> год и плановый период 202</w:t>
      </w:r>
      <w:r>
        <w:t>4</w:t>
      </w:r>
      <w:r w:rsidRPr="00175AB8">
        <w:t xml:space="preserve"> и 202</w:t>
      </w:r>
      <w:r>
        <w:t>5</w:t>
      </w:r>
      <w:r w:rsidRPr="00175AB8">
        <w:t xml:space="preserve"> годов, а также нормативов отчисления налогов в местный бюджет.</w:t>
      </w:r>
    </w:p>
    <w:p w14:paraId="75A8BD7A" w14:textId="3AFA9251" w:rsidR="00647FC7" w:rsidRDefault="00D80372" w:rsidP="00D80372">
      <w:pPr>
        <w:ind w:firstLine="567"/>
        <w:jc w:val="both"/>
      </w:pPr>
      <w:r w:rsidRPr="00A43085">
        <w:t xml:space="preserve">Налоговые доходы в </w:t>
      </w:r>
      <w:r w:rsidR="000E76FA">
        <w:t>2023</w:t>
      </w:r>
      <w:r w:rsidR="00BA1FCD">
        <w:t xml:space="preserve"> </w:t>
      </w:r>
      <w:r w:rsidRPr="00A43085">
        <w:t xml:space="preserve">году, как и в предыдущие годы, являются основой налоговых и неналоговых доходов бюджета поселения, в составе которых наибольший удельный вес имеют доходы </w:t>
      </w:r>
      <w:r>
        <w:t xml:space="preserve">от </w:t>
      </w:r>
      <w:r w:rsidRPr="000B3105">
        <w:t>доходы от уплаты</w:t>
      </w:r>
      <w:r w:rsidR="00175AB8" w:rsidRPr="00175AB8">
        <w:t xml:space="preserve"> ЕСХН</w:t>
      </w:r>
      <w:r w:rsidRPr="000B3105">
        <w:t xml:space="preserve"> </w:t>
      </w:r>
      <w:r w:rsidRPr="00A43085">
        <w:t xml:space="preserve">– </w:t>
      </w:r>
      <w:r w:rsidR="00175AB8">
        <w:t>40</w:t>
      </w:r>
      <w:r w:rsidR="00647FC7">
        <w:t>% и от уплаты</w:t>
      </w:r>
      <w:r w:rsidR="00175AB8">
        <w:t xml:space="preserve"> </w:t>
      </w:r>
      <w:r w:rsidR="00175AB8" w:rsidRPr="00175AB8">
        <w:t xml:space="preserve">акцизов </w:t>
      </w:r>
      <w:r w:rsidR="00647FC7">
        <w:t xml:space="preserve">– </w:t>
      </w:r>
      <w:r w:rsidR="00175AB8">
        <w:t>24</w:t>
      </w:r>
      <w:r w:rsidR="00647FC7">
        <w:t>%.</w:t>
      </w:r>
    </w:p>
    <w:p w14:paraId="6579E5F2" w14:textId="39247375" w:rsidR="001F7DAF" w:rsidRDefault="00966066" w:rsidP="001F7DAF">
      <w:pPr>
        <w:ind w:firstLine="567"/>
        <w:jc w:val="both"/>
      </w:pPr>
      <w:r w:rsidRPr="00966066">
        <w:t xml:space="preserve">По информации финансового управления администрации МО Куйтунский район на </w:t>
      </w:r>
      <w:r w:rsidR="001F7DAF">
        <w:t>01.10.202</w:t>
      </w:r>
      <w:r w:rsidR="00175AB8">
        <w:t>2</w:t>
      </w:r>
      <w:r w:rsidR="001F7DAF">
        <w:t xml:space="preserve"> года недоимка по налогам в бюджет поселения составила </w:t>
      </w:r>
      <w:r>
        <w:t xml:space="preserve">236,2 тыс.руб. </w:t>
      </w:r>
      <w:r w:rsidRPr="00966066">
        <w:t xml:space="preserve">(аналогичный период прошлого года - </w:t>
      </w:r>
      <w:r>
        <w:t>263,8</w:t>
      </w:r>
      <w:r w:rsidRPr="00966066">
        <w:t xml:space="preserve"> тыс. руб.).</w:t>
      </w:r>
    </w:p>
    <w:p w14:paraId="4D6284C8" w14:textId="77777777" w:rsidR="00D80372" w:rsidRPr="00A66CF8" w:rsidRDefault="00D80372" w:rsidP="00D80372">
      <w:pPr>
        <w:ind w:firstLine="567"/>
        <w:jc w:val="center"/>
        <w:rPr>
          <w:b/>
          <w:i/>
        </w:rPr>
      </w:pPr>
      <w:r>
        <w:rPr>
          <w:b/>
          <w:i/>
        </w:rPr>
        <w:t>Доходы от уплаты акцизов по подакцизным товарам</w:t>
      </w:r>
    </w:p>
    <w:p w14:paraId="578CDABA" w14:textId="25BB049A" w:rsidR="00182605" w:rsidRDefault="00D80372" w:rsidP="0018260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Главным администратором данного вида доходов является Федеральное казначейство</w:t>
      </w:r>
      <w:r w:rsidRPr="00C123BA">
        <w:t xml:space="preserve"> по Иркутской области</w:t>
      </w:r>
      <w:r>
        <w:t>, которое доводит информацию об объемах поступлений акцизов в бюджеты поселений. За счет доходов от акцизов формируются дорожные фонды поселений.</w:t>
      </w:r>
      <w:r w:rsidRPr="00C123BA">
        <w:t xml:space="preserve"> </w:t>
      </w:r>
      <w:r w:rsidR="00182605">
        <w:t xml:space="preserve">Проектом бюджета поступление доходов по подакцизным товарам на </w:t>
      </w:r>
      <w:r w:rsidR="000E76FA">
        <w:t>2023</w:t>
      </w:r>
      <w:r w:rsidR="00182605">
        <w:t xml:space="preserve"> год прогнозируется в сумме </w:t>
      </w:r>
      <w:r w:rsidR="00966066">
        <w:t>1188,5</w:t>
      </w:r>
      <w:r w:rsidR="00182605">
        <w:t xml:space="preserve"> тыс. руб., что больше ожидаемого исполнения 202</w:t>
      </w:r>
      <w:r w:rsidR="00966066">
        <w:t>2</w:t>
      </w:r>
      <w:r w:rsidR="00182605">
        <w:t xml:space="preserve"> года на </w:t>
      </w:r>
      <w:r w:rsidR="00966066">
        <w:t>21,2</w:t>
      </w:r>
      <w:r w:rsidR="00182605">
        <w:t xml:space="preserve"> тыс. руб., </w:t>
      </w:r>
      <w:r w:rsidR="00857AF4">
        <w:t xml:space="preserve">на </w:t>
      </w:r>
      <w:r w:rsidR="000E76FA">
        <w:t>2024</w:t>
      </w:r>
      <w:r w:rsidR="00857AF4">
        <w:t xml:space="preserve"> год – 1</w:t>
      </w:r>
      <w:r w:rsidR="00966066">
        <w:t>321</w:t>
      </w:r>
      <w:r w:rsidR="00857AF4">
        <w:t xml:space="preserve">,7 тыс. руб., на </w:t>
      </w:r>
      <w:r w:rsidR="000E76FA">
        <w:t>2025</w:t>
      </w:r>
      <w:r w:rsidR="00857AF4">
        <w:t xml:space="preserve"> год – </w:t>
      </w:r>
      <w:r w:rsidR="00966066">
        <w:t>1395,7</w:t>
      </w:r>
      <w:r w:rsidR="00857AF4">
        <w:t xml:space="preserve"> тыс. руб.</w:t>
      </w:r>
      <w:r w:rsidR="00182605">
        <w:t xml:space="preserve"> </w:t>
      </w:r>
    </w:p>
    <w:p w14:paraId="51AFE4E4" w14:textId="77777777" w:rsidR="00857AF4" w:rsidRDefault="00857AF4" w:rsidP="00857AF4">
      <w:pPr>
        <w:ind w:firstLine="567"/>
        <w:jc w:val="both"/>
        <w:rPr>
          <w:b/>
        </w:rPr>
      </w:pPr>
      <w:r w:rsidRPr="00507EE2">
        <w:t>Доходы от акцизов являются самым значимым доходным источником</w:t>
      </w:r>
      <w:r>
        <w:t>, имеющим наибольший удельный вес в составе налоговых и неналоговых доходов</w:t>
      </w:r>
      <w:r>
        <w:rPr>
          <w:b/>
        </w:rPr>
        <w:t>.</w:t>
      </w:r>
    </w:p>
    <w:p w14:paraId="1029EAD5" w14:textId="77777777" w:rsidR="00D80372" w:rsidRDefault="00D80372" w:rsidP="00D80372">
      <w:pPr>
        <w:ind w:firstLine="567"/>
        <w:jc w:val="center"/>
        <w:rPr>
          <w:b/>
          <w:i/>
        </w:rPr>
      </w:pPr>
      <w:r w:rsidRPr="00A441D3">
        <w:rPr>
          <w:color w:val="FF0000"/>
        </w:rPr>
        <w:t xml:space="preserve">       </w:t>
      </w:r>
      <w:r w:rsidRPr="002A2DE8">
        <w:rPr>
          <w:b/>
          <w:i/>
        </w:rPr>
        <w:t>Налог на доходы физических лиц</w:t>
      </w:r>
    </w:p>
    <w:p w14:paraId="33229B03" w14:textId="468394C7" w:rsidR="00BE4B8E" w:rsidRPr="00733DAC" w:rsidRDefault="00BE4B8E" w:rsidP="00BE4B8E">
      <w:pPr>
        <w:autoSpaceDE w:val="0"/>
        <w:autoSpaceDN w:val="0"/>
        <w:adjustRightInd w:val="0"/>
        <w:ind w:firstLine="567"/>
        <w:jc w:val="both"/>
      </w:pPr>
      <w:r w:rsidRPr="00F821BD">
        <w:t xml:space="preserve">В </w:t>
      </w:r>
      <w:r>
        <w:t>проекте бюджета</w:t>
      </w:r>
      <w:r w:rsidRPr="00F821BD">
        <w:t xml:space="preserve"> поступление налога на доходы физических лиц в </w:t>
      </w:r>
      <w:r w:rsidR="000E76FA">
        <w:t>2023</w:t>
      </w:r>
      <w:r w:rsidRPr="00F821BD">
        <w:t xml:space="preserve"> году прогнозируется в сумме </w:t>
      </w:r>
      <w:r w:rsidR="00F9720A">
        <w:rPr>
          <w:b/>
        </w:rPr>
        <w:t>757,8</w:t>
      </w:r>
      <w:r>
        <w:rPr>
          <w:b/>
        </w:rPr>
        <w:t xml:space="preserve"> тыс</w:t>
      </w:r>
      <w:r w:rsidRPr="00CC248A">
        <w:rPr>
          <w:b/>
        </w:rPr>
        <w:t>. руб</w:t>
      </w:r>
      <w:r w:rsidR="00B97A11">
        <w:rPr>
          <w:b/>
        </w:rPr>
        <w:t>.,</w:t>
      </w:r>
      <w:r>
        <w:rPr>
          <w:b/>
        </w:rPr>
        <w:t xml:space="preserve"> </w:t>
      </w:r>
      <w:r w:rsidRPr="003406A8">
        <w:t xml:space="preserve">что </w:t>
      </w:r>
      <w:r w:rsidRPr="00F821BD">
        <w:t xml:space="preserve">составляет </w:t>
      </w:r>
      <w:r w:rsidR="00F9720A">
        <w:t>99,3</w:t>
      </w:r>
      <w:r w:rsidRPr="00F821BD">
        <w:t>% к ожидаем</w:t>
      </w:r>
      <w:r>
        <w:t>ым</w:t>
      </w:r>
      <w:r w:rsidRPr="00F821BD">
        <w:t xml:space="preserve"> поступлени</w:t>
      </w:r>
      <w:r>
        <w:t>ям</w:t>
      </w:r>
      <w:r w:rsidRPr="00F821BD">
        <w:t xml:space="preserve"> </w:t>
      </w:r>
      <w:r>
        <w:t>202</w:t>
      </w:r>
      <w:r w:rsidR="00F9720A">
        <w:t>2</w:t>
      </w:r>
      <w:r w:rsidRPr="00F821BD">
        <w:t xml:space="preserve"> года</w:t>
      </w:r>
      <w:r>
        <w:t>. Согласно представленного реестра источников доходов бюджета кассовое поступление налога на доходы физических лиц текущего финансового года по состоянию на 1 ноября 202</w:t>
      </w:r>
      <w:r w:rsidR="00F9720A">
        <w:t>2</w:t>
      </w:r>
      <w:r>
        <w:t xml:space="preserve"> года составило </w:t>
      </w:r>
      <w:r w:rsidR="00F9720A">
        <w:t>658,6</w:t>
      </w:r>
      <w:r>
        <w:t xml:space="preserve"> тыс. руб., или 86</w:t>
      </w:r>
      <w:r w:rsidR="00F9720A">
        <w:t>,3</w:t>
      </w:r>
      <w:r>
        <w:t>% от ожидаемого годового исполнения (</w:t>
      </w:r>
      <w:r w:rsidR="00F9720A">
        <w:t>76</w:t>
      </w:r>
      <w:r>
        <w:t xml:space="preserve">3 тыс. руб.). </w:t>
      </w:r>
      <w:r w:rsidRPr="00734488">
        <w:t>Недоимка по данному налогу на 01.1</w:t>
      </w:r>
      <w:r>
        <w:t>0</w:t>
      </w:r>
      <w:r w:rsidRPr="00734488">
        <w:t>.</w:t>
      </w:r>
      <w:r>
        <w:t>202</w:t>
      </w:r>
      <w:r w:rsidR="00F9720A">
        <w:t>2</w:t>
      </w:r>
      <w:r w:rsidRPr="00734488">
        <w:t>г. составляет</w:t>
      </w:r>
      <w:r>
        <w:t xml:space="preserve"> </w:t>
      </w:r>
      <w:r w:rsidR="00F9720A">
        <w:t>0,7</w:t>
      </w:r>
      <w:r>
        <w:t xml:space="preserve"> </w:t>
      </w:r>
      <w:r w:rsidRPr="00734488">
        <w:t>тыс. руб.</w:t>
      </w:r>
      <w:r w:rsidRPr="00137AFE">
        <w:rPr>
          <w:b/>
        </w:rPr>
        <w:t xml:space="preserve"> </w:t>
      </w:r>
      <w:r>
        <w:t xml:space="preserve">Прогноз поступлений налога на доходы физических лиц в бюджет в </w:t>
      </w:r>
      <w:r w:rsidR="000E76FA">
        <w:t>2024</w:t>
      </w:r>
      <w:r>
        <w:t xml:space="preserve"> году составляет </w:t>
      </w:r>
      <w:r w:rsidR="00F9720A">
        <w:t>765,4</w:t>
      </w:r>
      <w:r>
        <w:t xml:space="preserve"> тыс. руб., или </w:t>
      </w:r>
      <w:r w:rsidR="006E002E">
        <w:t>101</w:t>
      </w:r>
      <w:r>
        <w:t xml:space="preserve">% к прогнозу </w:t>
      </w:r>
      <w:r w:rsidR="000E76FA">
        <w:t>2023</w:t>
      </w:r>
      <w:r>
        <w:t xml:space="preserve"> года, в </w:t>
      </w:r>
      <w:r w:rsidR="000E76FA">
        <w:t>2025</w:t>
      </w:r>
      <w:r>
        <w:t xml:space="preserve"> году – </w:t>
      </w:r>
      <w:r w:rsidR="00F73F05">
        <w:t>773</w:t>
      </w:r>
      <w:r>
        <w:t xml:space="preserve"> </w:t>
      </w:r>
      <w:r w:rsidR="006E002E">
        <w:t>тыс. руб., или 101</w:t>
      </w:r>
      <w:r>
        <w:t xml:space="preserve">% к </w:t>
      </w:r>
      <w:r w:rsidR="000E76FA">
        <w:t>2024</w:t>
      </w:r>
      <w:r>
        <w:t xml:space="preserve"> году. </w:t>
      </w:r>
    </w:p>
    <w:p w14:paraId="51A18D51" w14:textId="3AD6405B" w:rsidR="00BE4B8E" w:rsidRPr="00EA3494" w:rsidRDefault="00BE4B8E" w:rsidP="00BE4B8E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3" w:name="_Hlk119595214"/>
      <w:r w:rsidRPr="008312E6">
        <w:rPr>
          <w:b/>
        </w:rPr>
        <w:t xml:space="preserve">Учитывая темпы роста среднемесячной заработной платы, определенные Прогнозом СЭР </w:t>
      </w:r>
      <w:r w:rsidR="006E002E" w:rsidRPr="008312E6">
        <w:rPr>
          <w:b/>
        </w:rPr>
        <w:t>Каразейск</w:t>
      </w:r>
      <w:r w:rsidR="00EA3494" w:rsidRPr="008312E6">
        <w:rPr>
          <w:b/>
        </w:rPr>
        <w:t>ого</w:t>
      </w:r>
      <w:r w:rsidRPr="008312E6">
        <w:rPr>
          <w:b/>
        </w:rPr>
        <w:t xml:space="preserve"> МО, на </w:t>
      </w:r>
      <w:r w:rsidR="000E76FA" w:rsidRPr="008312E6">
        <w:rPr>
          <w:b/>
        </w:rPr>
        <w:t>2023</w:t>
      </w:r>
      <w:r w:rsidRPr="008312E6">
        <w:rPr>
          <w:b/>
        </w:rPr>
        <w:t xml:space="preserve"> год – </w:t>
      </w:r>
      <w:r w:rsidR="00EA3494" w:rsidRPr="008312E6">
        <w:rPr>
          <w:b/>
        </w:rPr>
        <w:t>105,4</w:t>
      </w:r>
      <w:r w:rsidRPr="008312E6">
        <w:rPr>
          <w:b/>
        </w:rPr>
        <w:t xml:space="preserve">%, на </w:t>
      </w:r>
      <w:r w:rsidR="000E76FA" w:rsidRPr="008312E6">
        <w:rPr>
          <w:b/>
        </w:rPr>
        <w:t>2024</w:t>
      </w:r>
      <w:r w:rsidRPr="008312E6">
        <w:rPr>
          <w:b/>
        </w:rPr>
        <w:t>г. -</w:t>
      </w:r>
      <w:r w:rsidR="00EA3494" w:rsidRPr="008312E6">
        <w:rPr>
          <w:b/>
        </w:rPr>
        <w:t>105,2</w:t>
      </w:r>
      <w:r w:rsidRPr="008312E6">
        <w:rPr>
          <w:b/>
        </w:rPr>
        <w:t xml:space="preserve">%, на </w:t>
      </w:r>
      <w:r w:rsidR="000E76FA" w:rsidRPr="008312E6">
        <w:rPr>
          <w:b/>
        </w:rPr>
        <w:t>2025</w:t>
      </w:r>
      <w:r w:rsidRPr="008312E6">
        <w:rPr>
          <w:b/>
        </w:rPr>
        <w:t xml:space="preserve">г. </w:t>
      </w:r>
      <w:r w:rsidR="006E002E" w:rsidRPr="008312E6">
        <w:rPr>
          <w:b/>
        </w:rPr>
        <w:t xml:space="preserve">– </w:t>
      </w:r>
      <w:r w:rsidR="00EA3494" w:rsidRPr="008312E6">
        <w:rPr>
          <w:b/>
        </w:rPr>
        <w:t>107,2</w:t>
      </w:r>
      <w:r w:rsidRPr="008312E6">
        <w:rPr>
          <w:b/>
        </w:rPr>
        <w:t xml:space="preserve">%, </w:t>
      </w:r>
      <w:r w:rsidR="00EA3494" w:rsidRPr="008312E6">
        <w:rPr>
          <w:b/>
        </w:rPr>
        <w:t>можно предположить</w:t>
      </w:r>
      <w:r w:rsidRPr="008312E6">
        <w:rPr>
          <w:b/>
        </w:rPr>
        <w:t>, что прогнозные показатели НДФЛ несколько занижены</w:t>
      </w:r>
      <w:r w:rsidR="008312E6">
        <w:rPr>
          <w:b/>
        </w:rPr>
        <w:t xml:space="preserve"> и не в полной мере взаимоувязаны с Прогнозом СЭР</w:t>
      </w:r>
      <w:r w:rsidR="008312E6">
        <w:rPr>
          <w:bCs/>
        </w:rPr>
        <w:t>. То есть темпы роста средней заработной платы (105-107%) выше, чем темпы роста НДФЛ (101%), перечисляемого с этой заработной платы</w:t>
      </w:r>
      <w:bookmarkEnd w:id="3"/>
      <w:r w:rsidR="008312E6">
        <w:rPr>
          <w:bCs/>
        </w:rPr>
        <w:t>.</w:t>
      </w:r>
      <w:r w:rsidR="008312E6" w:rsidRPr="008312E6">
        <w:t xml:space="preserve"> </w:t>
      </w:r>
      <w:r w:rsidR="008312E6" w:rsidRPr="008312E6">
        <w:rPr>
          <w:bCs/>
        </w:rPr>
        <w:t>Нормативы перечислений НДФЛ не изменились.</w:t>
      </w:r>
    </w:p>
    <w:p w14:paraId="3DB7445A" w14:textId="1BA15DF5" w:rsidR="00BE4B8E" w:rsidRDefault="00BE4B8E" w:rsidP="00BE4B8E">
      <w:pPr>
        <w:ind w:firstLine="567"/>
        <w:jc w:val="both"/>
      </w:pPr>
      <w:r w:rsidRPr="00DD26CE">
        <w:lastRenderedPageBreak/>
        <w:t xml:space="preserve">Доля поступления </w:t>
      </w:r>
      <w:r>
        <w:t>НДФЛ</w:t>
      </w:r>
      <w:r w:rsidRPr="00DD26CE">
        <w:t xml:space="preserve"> </w:t>
      </w:r>
      <w:r>
        <w:t>в плановом периоде</w:t>
      </w:r>
      <w:r w:rsidRPr="00DD26CE">
        <w:t xml:space="preserve"> в общем объеме налоговых и неналоговых доходов состав</w:t>
      </w:r>
      <w:r>
        <w:t>и</w:t>
      </w:r>
      <w:r w:rsidRPr="00DD26CE">
        <w:t xml:space="preserve">т </w:t>
      </w:r>
      <w:r>
        <w:t>1</w:t>
      </w:r>
      <w:r w:rsidR="008312E6">
        <w:t>5</w:t>
      </w:r>
      <w:r w:rsidR="006E002E">
        <w:t>,2-</w:t>
      </w:r>
      <w:r w:rsidR="008312E6">
        <w:t>14,7</w:t>
      </w:r>
      <w:r>
        <w:t>%</w:t>
      </w:r>
      <w:r w:rsidRPr="00DD26CE">
        <w:t>.</w:t>
      </w:r>
      <w:r>
        <w:t xml:space="preserve"> </w:t>
      </w:r>
    </w:p>
    <w:p w14:paraId="5A301FB5" w14:textId="77777777" w:rsidR="00D80372" w:rsidRPr="001C4765" w:rsidRDefault="00D80372" w:rsidP="00D80372">
      <w:pPr>
        <w:ind w:firstLine="567"/>
        <w:jc w:val="center"/>
        <w:rPr>
          <w:b/>
          <w:i/>
        </w:rPr>
      </w:pPr>
      <w:r>
        <w:rPr>
          <w:b/>
          <w:i/>
        </w:rPr>
        <w:t>Земельный налог</w:t>
      </w:r>
    </w:p>
    <w:p w14:paraId="033D510D" w14:textId="68CDB632" w:rsidR="00D80372" w:rsidRDefault="00D80372" w:rsidP="00A47233">
      <w:pPr>
        <w:ind w:left="-170" w:firstLine="567"/>
        <w:jc w:val="both"/>
      </w:pPr>
      <w:r>
        <w:t>Посту</w:t>
      </w:r>
      <w:r w:rsidR="007557F5">
        <w:t xml:space="preserve">пление земельного налога на </w:t>
      </w:r>
      <w:r w:rsidR="000E76FA">
        <w:t>2023</w:t>
      </w:r>
      <w:r>
        <w:t xml:space="preserve"> год </w:t>
      </w:r>
      <w:r w:rsidR="00A47233" w:rsidRPr="00A47233">
        <w:t xml:space="preserve">прогнозируется в сумме </w:t>
      </w:r>
      <w:r w:rsidR="00A47233">
        <w:t xml:space="preserve">900тыс. руб., на </w:t>
      </w:r>
      <w:r>
        <w:t xml:space="preserve">плановый период </w:t>
      </w:r>
      <w:r w:rsidR="000E76FA">
        <w:t>2024</w:t>
      </w:r>
      <w:r>
        <w:t>-</w:t>
      </w:r>
      <w:r w:rsidR="000E76FA">
        <w:t>2025</w:t>
      </w:r>
      <w:r>
        <w:t xml:space="preserve">гг. по </w:t>
      </w:r>
      <w:r w:rsidR="00A47233">
        <w:rPr>
          <w:b/>
        </w:rPr>
        <w:t>940,6</w:t>
      </w:r>
      <w:r w:rsidRPr="00AF4080">
        <w:rPr>
          <w:b/>
        </w:rPr>
        <w:t xml:space="preserve"> тыс. руб.</w:t>
      </w:r>
      <w:r>
        <w:rPr>
          <w:b/>
        </w:rPr>
        <w:t xml:space="preserve"> </w:t>
      </w:r>
      <w:r w:rsidRPr="0082587D">
        <w:t>ежегодно,</w:t>
      </w:r>
      <w:r>
        <w:rPr>
          <w:b/>
        </w:rPr>
        <w:t xml:space="preserve"> </w:t>
      </w:r>
      <w:r>
        <w:t xml:space="preserve">или </w:t>
      </w:r>
      <w:r w:rsidRPr="00973594">
        <w:t>1</w:t>
      </w:r>
      <w:r w:rsidR="00A47233" w:rsidRPr="00973594">
        <w:t>12,2</w:t>
      </w:r>
      <w:r w:rsidR="007557F5" w:rsidRPr="00973594">
        <w:t>% к ожидаемым</w:t>
      </w:r>
      <w:r w:rsidR="007557F5">
        <w:t xml:space="preserve"> поступлениям 202</w:t>
      </w:r>
      <w:r w:rsidR="00A47233">
        <w:t>2</w:t>
      </w:r>
      <w:r>
        <w:t xml:space="preserve"> года.</w:t>
      </w:r>
      <w:r w:rsidRPr="0087443C">
        <w:t xml:space="preserve"> Доля поступления земельного налога в </w:t>
      </w:r>
      <w:r>
        <w:t xml:space="preserve">плановом периоде </w:t>
      </w:r>
      <w:r w:rsidRPr="0087443C">
        <w:t xml:space="preserve">в общем объеме </w:t>
      </w:r>
      <w:r>
        <w:t xml:space="preserve">налоговых </w:t>
      </w:r>
      <w:r w:rsidR="00A47233">
        <w:t xml:space="preserve">и неналоговых </w:t>
      </w:r>
      <w:r w:rsidRPr="0087443C">
        <w:t xml:space="preserve">доходов составляет </w:t>
      </w:r>
      <w:r w:rsidR="00A47233">
        <w:t>17,9</w:t>
      </w:r>
      <w:r w:rsidR="007557F5">
        <w:t>-</w:t>
      </w:r>
      <w:r w:rsidR="00A47233">
        <w:t>18</w:t>
      </w:r>
      <w:r w:rsidR="007557F5">
        <w:t>2</w:t>
      </w:r>
      <w:r w:rsidRPr="0087443C">
        <w:t>%.</w:t>
      </w:r>
      <w:r w:rsidRPr="00A441D3">
        <w:rPr>
          <w:color w:val="FF0000"/>
        </w:rPr>
        <w:t xml:space="preserve"> </w:t>
      </w:r>
      <w:r w:rsidRPr="0097232C">
        <w:t>Фактическое поступление за 10 мес</w:t>
      </w:r>
      <w:r>
        <w:t>яцев</w:t>
      </w:r>
      <w:r w:rsidRPr="0097232C">
        <w:t xml:space="preserve"> </w:t>
      </w:r>
      <w:r>
        <w:t>202</w:t>
      </w:r>
      <w:r w:rsidR="00A47233">
        <w:t>2</w:t>
      </w:r>
      <w:r w:rsidRPr="0097232C">
        <w:t xml:space="preserve">г. составило </w:t>
      </w:r>
      <w:r w:rsidR="00A47233">
        <w:t>491,8</w:t>
      </w:r>
      <w:r>
        <w:t xml:space="preserve"> </w:t>
      </w:r>
      <w:r w:rsidRPr="0097232C">
        <w:t>тыс. рублей</w:t>
      </w:r>
      <w:r w:rsidRPr="0097232C">
        <w:rPr>
          <w:color w:val="FF0000"/>
        </w:rPr>
        <w:t xml:space="preserve"> </w:t>
      </w:r>
      <w:r w:rsidRPr="0097232C">
        <w:t>(</w:t>
      </w:r>
      <w:r w:rsidR="00A47233">
        <w:t>58,7</w:t>
      </w:r>
      <w:r w:rsidR="00A74AB0">
        <w:t>%</w:t>
      </w:r>
      <w:r w:rsidRPr="0097232C">
        <w:t xml:space="preserve"> от ожидаемого годового исполнения</w:t>
      </w:r>
      <w:r w:rsidR="00A47233">
        <w:t xml:space="preserve"> - 838,1тыс.руб.</w:t>
      </w:r>
      <w:r w:rsidRPr="0097232C">
        <w:t>).</w:t>
      </w:r>
      <w:r w:rsidRPr="0097232C">
        <w:rPr>
          <w:color w:val="FF0000"/>
        </w:rPr>
        <w:t xml:space="preserve"> </w:t>
      </w:r>
      <w:r w:rsidRPr="0097232C">
        <w:t>Недоимка по данному налогу на 01.1</w:t>
      </w:r>
      <w:r>
        <w:t>0</w:t>
      </w:r>
      <w:r w:rsidRPr="0097232C">
        <w:t>.</w:t>
      </w:r>
      <w:r w:rsidR="00A74AB0">
        <w:t>202</w:t>
      </w:r>
      <w:r w:rsidR="00A47233">
        <w:t>2</w:t>
      </w:r>
      <w:r w:rsidRPr="0097232C">
        <w:t xml:space="preserve">г. составляет </w:t>
      </w:r>
      <w:r w:rsidR="00A47233">
        <w:t>195,2тыс.руб. (</w:t>
      </w:r>
      <w:r w:rsidR="00A47233" w:rsidRPr="00A47233">
        <w:t xml:space="preserve">аналогичный период прошлого года </w:t>
      </w:r>
      <w:r w:rsidR="00A47233">
        <w:t xml:space="preserve">- </w:t>
      </w:r>
      <w:r w:rsidR="00A74AB0">
        <w:t>206,3</w:t>
      </w:r>
      <w:r>
        <w:t xml:space="preserve"> </w:t>
      </w:r>
      <w:r w:rsidRPr="0097232C">
        <w:t>тыс. руб.</w:t>
      </w:r>
      <w:r w:rsidR="00A47233">
        <w:t>).</w:t>
      </w:r>
    </w:p>
    <w:p w14:paraId="5D24445F" w14:textId="77777777" w:rsidR="00D80372" w:rsidRDefault="00D80372" w:rsidP="00D80372">
      <w:pPr>
        <w:ind w:left="-170" w:firstLine="567"/>
        <w:jc w:val="center"/>
        <w:rPr>
          <w:b/>
          <w:i/>
        </w:rPr>
      </w:pPr>
      <w:r w:rsidRPr="002C4322">
        <w:rPr>
          <w:b/>
          <w:i/>
        </w:rPr>
        <w:t>Налог на имущество физических лиц</w:t>
      </w:r>
    </w:p>
    <w:p w14:paraId="535FC8ED" w14:textId="498EE095" w:rsidR="002A663E" w:rsidRDefault="00D80372" w:rsidP="00D80372">
      <w:pPr>
        <w:ind w:firstLine="567"/>
        <w:jc w:val="both"/>
      </w:pPr>
      <w:r>
        <w:t>По оценке поступления налога на имущество физических лиц за 202</w:t>
      </w:r>
      <w:r w:rsidR="00071AF4">
        <w:t>2</w:t>
      </w:r>
      <w:r>
        <w:t xml:space="preserve"> год состав</w:t>
      </w:r>
      <w:r w:rsidR="00071AF4">
        <w:t>я</w:t>
      </w:r>
      <w:r>
        <w:t>т</w:t>
      </w:r>
      <w:r w:rsidRPr="00C406F8">
        <w:rPr>
          <w:b/>
        </w:rPr>
        <w:t xml:space="preserve"> </w:t>
      </w:r>
      <w:r w:rsidRPr="009612DB">
        <w:t>1</w:t>
      </w:r>
      <w:r>
        <w:t>1</w:t>
      </w:r>
      <w:r w:rsidRPr="009612DB">
        <w:t xml:space="preserve">0 </w:t>
      </w:r>
      <w:r w:rsidRPr="00C406F8">
        <w:t>тыс. руб</w:t>
      </w:r>
      <w:r w:rsidRPr="00C406F8">
        <w:rPr>
          <w:b/>
        </w:rPr>
        <w:t>.</w:t>
      </w:r>
      <w:r>
        <w:rPr>
          <w:b/>
        </w:rPr>
        <w:t xml:space="preserve"> </w:t>
      </w:r>
      <w:r>
        <w:t>Прогноз</w:t>
      </w:r>
      <w:r w:rsidRPr="00B103B1">
        <w:t xml:space="preserve"> </w:t>
      </w:r>
      <w:r>
        <w:t xml:space="preserve">поступлений доходов от налога на имущество физических лиц на </w:t>
      </w:r>
      <w:r w:rsidR="000E76FA">
        <w:t>2023</w:t>
      </w:r>
      <w:r w:rsidR="002A663E">
        <w:t xml:space="preserve"> год и на плановый период </w:t>
      </w:r>
      <w:r w:rsidR="000E76FA">
        <w:t>2024</w:t>
      </w:r>
      <w:r w:rsidR="002A663E">
        <w:t>-</w:t>
      </w:r>
      <w:r w:rsidR="000E76FA">
        <w:t>2025</w:t>
      </w:r>
      <w:r>
        <w:t>гг. составляет по</w:t>
      </w:r>
      <w:r w:rsidRPr="0098056A">
        <w:rPr>
          <w:b/>
        </w:rPr>
        <w:t xml:space="preserve"> </w:t>
      </w:r>
      <w:r w:rsidR="00071AF4">
        <w:rPr>
          <w:b/>
        </w:rPr>
        <w:t>67</w:t>
      </w:r>
      <w:r w:rsidRPr="0098056A">
        <w:rPr>
          <w:b/>
        </w:rPr>
        <w:t>тыс. руб</w:t>
      </w:r>
      <w:r>
        <w:t xml:space="preserve">. ежегодно, </w:t>
      </w:r>
      <w:r w:rsidR="00071AF4">
        <w:t>т.е. ниже</w:t>
      </w:r>
      <w:r>
        <w:t xml:space="preserve"> оценки 202</w:t>
      </w:r>
      <w:r w:rsidR="00071AF4">
        <w:t>2</w:t>
      </w:r>
      <w:r>
        <w:t xml:space="preserve"> года. </w:t>
      </w:r>
      <w:r w:rsidR="00071AF4">
        <w:t xml:space="preserve"> Согласно пояснительной записки к проекту </w:t>
      </w:r>
      <w:r w:rsidR="00973594">
        <w:t xml:space="preserve">это связано с перерасчетами налога на имущество физических лиц налоговой инспекцией, в результате которых начисления налога за отчетный период </w:t>
      </w:r>
      <w:r w:rsidR="004326F1">
        <w:t xml:space="preserve">у многих жителей поселения </w:t>
      </w:r>
      <w:r w:rsidR="00973594">
        <w:t>оказались нулевыми. Также при планировании данного доходного источника учтено ф</w:t>
      </w:r>
      <w:r w:rsidR="002A663E" w:rsidRPr="00C406F8">
        <w:t xml:space="preserve">актическое </w:t>
      </w:r>
      <w:r w:rsidR="002A663E">
        <w:t>исполнение дохода от налога на имущество физических лиц за 10 месяцев 202</w:t>
      </w:r>
      <w:r w:rsidR="00973594">
        <w:t>2</w:t>
      </w:r>
      <w:r w:rsidR="002A663E">
        <w:t xml:space="preserve"> года</w:t>
      </w:r>
      <w:r w:rsidR="00973594">
        <w:t>, которое при плане 110тыс.руб. составило всего 29,8тыс.руб.</w:t>
      </w:r>
      <w:r w:rsidR="002A663E">
        <w:t xml:space="preserve"> </w:t>
      </w:r>
      <w:r w:rsidR="00973594">
        <w:t xml:space="preserve"> По итогам 2021года сложилось также неисполнение плановых назначений данного вида налога: при плане 110 тыс.руб. поступило в бюджет </w:t>
      </w:r>
      <w:r w:rsidR="004326F1">
        <w:t>66,5тыс.руб.</w:t>
      </w:r>
      <w:r w:rsidR="00185BF7">
        <w:t xml:space="preserve"> </w:t>
      </w:r>
      <w:r w:rsidR="002A663E">
        <w:t>Недоимка по данному виду налога на 01.10.202</w:t>
      </w:r>
      <w:r w:rsidR="004326F1">
        <w:t>2</w:t>
      </w:r>
      <w:r w:rsidR="002A663E">
        <w:t xml:space="preserve">г. составляет </w:t>
      </w:r>
      <w:r w:rsidR="004326F1">
        <w:t>40,2</w:t>
      </w:r>
      <w:r w:rsidR="002A663E">
        <w:t>тыс. руб.</w:t>
      </w:r>
      <w:r w:rsidR="004326F1" w:rsidRPr="004326F1">
        <w:t xml:space="preserve"> (аналогичный период прошлого года - </w:t>
      </w:r>
      <w:r w:rsidR="004326F1">
        <w:t>50</w:t>
      </w:r>
      <w:r w:rsidR="004326F1" w:rsidRPr="004326F1">
        <w:t xml:space="preserve"> тыс. руб.).</w:t>
      </w:r>
    </w:p>
    <w:p w14:paraId="1CAC12D4" w14:textId="3489E341" w:rsidR="00D80372" w:rsidRDefault="002A663E" w:rsidP="00D80372">
      <w:pPr>
        <w:ind w:firstLine="567"/>
        <w:jc w:val="both"/>
      </w:pPr>
      <w:r>
        <w:t>Д</w:t>
      </w:r>
      <w:r w:rsidR="00D80372">
        <w:t xml:space="preserve">оля поступления налога на имущество физических лиц в общем объеме налоговых </w:t>
      </w:r>
      <w:r w:rsidR="004326F1">
        <w:t xml:space="preserve">и неналоговых </w:t>
      </w:r>
      <w:r w:rsidR="00D80372">
        <w:t xml:space="preserve">доходов составляет </w:t>
      </w:r>
      <w:r w:rsidR="004326F1">
        <w:t>1,</w:t>
      </w:r>
      <w:r w:rsidR="00D80372">
        <w:t>3</w:t>
      </w:r>
      <w:r>
        <w:t>%</w:t>
      </w:r>
      <w:r w:rsidR="00D80372">
        <w:t>.</w:t>
      </w:r>
    </w:p>
    <w:p w14:paraId="0EA68B82" w14:textId="77777777" w:rsidR="00D80372" w:rsidRPr="002C4322" w:rsidRDefault="00D80372" w:rsidP="00D80372">
      <w:pPr>
        <w:ind w:firstLine="567"/>
        <w:jc w:val="center"/>
        <w:rPr>
          <w:b/>
          <w:i/>
        </w:rPr>
      </w:pPr>
      <w:r w:rsidRPr="002C4322">
        <w:rPr>
          <w:b/>
          <w:i/>
        </w:rPr>
        <w:t>Единый сельскохозяйственный налог</w:t>
      </w:r>
    </w:p>
    <w:p w14:paraId="2642BC2A" w14:textId="09720FCC" w:rsidR="00D80372" w:rsidRDefault="00D80372" w:rsidP="00D80372">
      <w:pPr>
        <w:ind w:firstLine="567"/>
        <w:jc w:val="both"/>
      </w:pPr>
      <w:r w:rsidRPr="002C4322">
        <w:t>Прогноз поступлений н</w:t>
      </w:r>
      <w:r>
        <w:t xml:space="preserve">алога в бюджет поселения на </w:t>
      </w:r>
      <w:r w:rsidR="000E76FA">
        <w:t>2023</w:t>
      </w:r>
      <w:r w:rsidR="00B97A11">
        <w:t xml:space="preserve"> год и на плановый период </w:t>
      </w:r>
      <w:r w:rsidR="000E76FA">
        <w:t>2024</w:t>
      </w:r>
      <w:r>
        <w:t>-</w:t>
      </w:r>
      <w:r w:rsidR="000E76FA">
        <w:t>2025</w:t>
      </w:r>
      <w:r>
        <w:t xml:space="preserve">гг. составляет </w:t>
      </w:r>
      <w:r w:rsidRPr="00727944">
        <w:rPr>
          <w:b/>
        </w:rPr>
        <w:t xml:space="preserve">по </w:t>
      </w:r>
      <w:r w:rsidR="004326F1">
        <w:rPr>
          <w:b/>
        </w:rPr>
        <w:t>197</w:t>
      </w:r>
      <w:r w:rsidR="00B97A11">
        <w:rPr>
          <w:b/>
        </w:rPr>
        <w:t xml:space="preserve">0 </w:t>
      </w:r>
      <w:r w:rsidRPr="00727944">
        <w:rPr>
          <w:b/>
        </w:rPr>
        <w:t>тыс. руб</w:t>
      </w:r>
      <w:r>
        <w:t xml:space="preserve">. ежегодно, </w:t>
      </w:r>
      <w:r w:rsidR="004326F1">
        <w:t>или на уровне</w:t>
      </w:r>
      <w:r w:rsidR="00B97A11">
        <w:t xml:space="preserve"> ожидаемы</w:t>
      </w:r>
      <w:r w:rsidR="004326F1">
        <w:t>х</w:t>
      </w:r>
      <w:r w:rsidR="00B97A11">
        <w:t xml:space="preserve"> поступлени</w:t>
      </w:r>
      <w:r w:rsidR="004326F1">
        <w:t>й</w:t>
      </w:r>
      <w:r w:rsidR="00B97A11">
        <w:t xml:space="preserve"> 202</w:t>
      </w:r>
      <w:r w:rsidR="004326F1">
        <w:t>2</w:t>
      </w:r>
      <w:r>
        <w:t xml:space="preserve"> года. Согласно пояснительной записки прогноз поступлений ЕСХН осуществлен исходя из предварительных расчетов сельхозпредприятий СПК «Колхоз Труд» и КФХ «Воздвиженская А. Е.».</w:t>
      </w:r>
      <w:r w:rsidRPr="00B22984">
        <w:t xml:space="preserve"> </w:t>
      </w:r>
      <w:r>
        <w:t>Фактичес</w:t>
      </w:r>
      <w:r w:rsidR="00B97A11">
        <w:t>кое исполнение за 10 месяцев 202</w:t>
      </w:r>
      <w:r w:rsidR="004326F1">
        <w:t>2</w:t>
      </w:r>
      <w:r>
        <w:t xml:space="preserve"> года составило </w:t>
      </w:r>
      <w:r w:rsidR="004326F1">
        <w:t>1970</w:t>
      </w:r>
      <w:r>
        <w:t xml:space="preserve"> тыс. руб. </w:t>
      </w:r>
    </w:p>
    <w:p w14:paraId="69396B1A" w14:textId="3A123A7B" w:rsidR="00D80372" w:rsidRDefault="00D80372" w:rsidP="00177FAC">
      <w:pPr>
        <w:ind w:firstLine="567"/>
        <w:jc w:val="both"/>
        <w:rPr>
          <w:b/>
          <w:i/>
        </w:rPr>
      </w:pPr>
      <w:r>
        <w:t xml:space="preserve">Удельный вес единого сельскохозяйственного налога в общем объеме налоговых </w:t>
      </w:r>
      <w:r w:rsidR="004326F1">
        <w:t xml:space="preserve">и неналоговых </w:t>
      </w:r>
      <w:r>
        <w:t xml:space="preserve">доходов </w:t>
      </w:r>
      <w:r w:rsidR="004326F1">
        <w:t xml:space="preserve">с 2022 года является самым значительным и </w:t>
      </w:r>
      <w:r>
        <w:t>состав</w:t>
      </w:r>
      <w:r w:rsidR="004326F1">
        <w:t>ляет</w:t>
      </w:r>
      <w:r>
        <w:t xml:space="preserve"> </w:t>
      </w:r>
      <w:r w:rsidR="004326F1">
        <w:t>38-40</w:t>
      </w:r>
      <w:r>
        <w:t>%.</w:t>
      </w:r>
    </w:p>
    <w:p w14:paraId="5ACEA819" w14:textId="77777777" w:rsidR="00D80372" w:rsidRPr="002C4322" w:rsidRDefault="00D80372" w:rsidP="00D80372">
      <w:pPr>
        <w:ind w:firstLine="567"/>
        <w:jc w:val="center"/>
        <w:rPr>
          <w:b/>
          <w:i/>
        </w:rPr>
      </w:pPr>
      <w:r w:rsidRPr="002C4322">
        <w:rPr>
          <w:b/>
          <w:i/>
        </w:rPr>
        <w:t>Государственная пошлина</w:t>
      </w:r>
    </w:p>
    <w:p w14:paraId="4513B740" w14:textId="79006573" w:rsidR="00D80372" w:rsidRDefault="00D80372" w:rsidP="00D80372">
      <w:pPr>
        <w:ind w:firstLine="567"/>
        <w:jc w:val="both"/>
        <w:rPr>
          <w:b/>
        </w:rPr>
      </w:pPr>
      <w:r w:rsidRPr="002C4322">
        <w:t xml:space="preserve">Данный вид дохода зачисляется в бюджет сельского поселения в результате нотариальной деятельности </w:t>
      </w:r>
      <w:r>
        <w:t>органов местного самоуправления и относится к слабо прогнозируемым, так как зависит от обращений граждан.</w:t>
      </w:r>
      <w:r w:rsidRPr="002C4322">
        <w:t xml:space="preserve"> Ожидаемая оценка за </w:t>
      </w:r>
      <w:r>
        <w:t>20</w:t>
      </w:r>
      <w:r w:rsidR="00532027">
        <w:t>2</w:t>
      </w:r>
      <w:r w:rsidR="004326F1">
        <w:t>2</w:t>
      </w:r>
      <w:r w:rsidRPr="002C4322">
        <w:t xml:space="preserve"> год </w:t>
      </w:r>
      <w:r w:rsidR="00532027">
        <w:t>–</w:t>
      </w:r>
      <w:r w:rsidRPr="002C4322">
        <w:t xml:space="preserve"> </w:t>
      </w:r>
      <w:r w:rsidR="00532027">
        <w:t xml:space="preserve">7 </w:t>
      </w:r>
      <w:r w:rsidRPr="002C4322">
        <w:t xml:space="preserve">тыс. руб. Фактическое исполнение за 10 месяцев </w:t>
      </w:r>
      <w:r w:rsidR="00532027">
        <w:t>202</w:t>
      </w:r>
      <w:r w:rsidR="004326F1">
        <w:t>2</w:t>
      </w:r>
      <w:r w:rsidRPr="002C4322">
        <w:t xml:space="preserve"> года</w:t>
      </w:r>
      <w:r w:rsidR="004326F1">
        <w:t xml:space="preserve"> -</w:t>
      </w:r>
      <w:r w:rsidRPr="002C4322">
        <w:t xml:space="preserve"> </w:t>
      </w:r>
      <w:r w:rsidR="004326F1">
        <w:t>5,6</w:t>
      </w:r>
      <w:r>
        <w:t xml:space="preserve"> тыс. </w:t>
      </w:r>
      <w:r w:rsidR="00532027">
        <w:t xml:space="preserve">руб. Прогноз поступлений на </w:t>
      </w:r>
      <w:r w:rsidR="000E76FA">
        <w:t>2023</w:t>
      </w:r>
      <w:r>
        <w:t xml:space="preserve"> и плановый период </w:t>
      </w:r>
      <w:r w:rsidR="000E76FA">
        <w:t>2024</w:t>
      </w:r>
      <w:r>
        <w:t>-</w:t>
      </w:r>
      <w:r w:rsidR="000E76FA">
        <w:t>2025</w:t>
      </w:r>
      <w:r>
        <w:t>гг. по 6,3 тыс. руб. ежегодно. Удельный вес поступлений госпошлины в объеме налоговых</w:t>
      </w:r>
      <w:r w:rsidR="004326F1">
        <w:t xml:space="preserve"> и неналоговых</w:t>
      </w:r>
      <w:r>
        <w:t xml:space="preserve"> доходов за анализируемые периоды составляет 0,</w:t>
      </w:r>
      <w:r w:rsidR="004326F1">
        <w:t>1</w:t>
      </w:r>
      <w:r>
        <w:t>%.</w:t>
      </w:r>
      <w:r w:rsidRPr="00EE1C93">
        <w:rPr>
          <w:b/>
        </w:rPr>
        <w:t xml:space="preserve">     </w:t>
      </w:r>
    </w:p>
    <w:p w14:paraId="2069E8DF" w14:textId="77777777" w:rsidR="00D80372" w:rsidRPr="00B910AB" w:rsidRDefault="00D80372" w:rsidP="00D80372">
      <w:pPr>
        <w:ind w:firstLine="567"/>
        <w:jc w:val="center"/>
        <w:rPr>
          <w:b/>
          <w:u w:val="single"/>
        </w:rPr>
      </w:pPr>
      <w:r w:rsidRPr="00B910AB">
        <w:rPr>
          <w:b/>
          <w:u w:val="single"/>
        </w:rPr>
        <w:t>Ненал</w:t>
      </w:r>
      <w:r>
        <w:rPr>
          <w:b/>
          <w:u w:val="single"/>
        </w:rPr>
        <w:t>оговые доходы бюджета поселения</w:t>
      </w:r>
    </w:p>
    <w:p w14:paraId="0EA11CA3" w14:textId="15E84638" w:rsidR="00D80372" w:rsidRDefault="00CE4603" w:rsidP="00CE4603">
      <w:pPr>
        <w:ind w:firstLine="567"/>
        <w:jc w:val="both"/>
      </w:pPr>
      <w:r w:rsidRPr="00CE4603">
        <w:t>Неналоговые доходы в 202</w:t>
      </w:r>
      <w:r>
        <w:t>3</w:t>
      </w:r>
      <w:r w:rsidRPr="00CE4603">
        <w:t xml:space="preserve"> году, как и в последующие два года, не превышают 2% в общем объеме налоговых и неналоговых доходов бюджета поселения. В составе неналоговых поступлений в 202</w:t>
      </w:r>
      <w:r>
        <w:t>3</w:t>
      </w:r>
      <w:r w:rsidRPr="00CE4603">
        <w:t xml:space="preserve"> году и плановом периоде наиболее значимы доходы от </w:t>
      </w:r>
      <w:r>
        <w:t>аренды муниципального имущества</w:t>
      </w:r>
      <w:r w:rsidRPr="00CE4603">
        <w:t xml:space="preserve"> – 50</w:t>
      </w:r>
      <w:r>
        <w:t>,6</w:t>
      </w:r>
      <w:r w:rsidRPr="00CE4603">
        <w:t>%. В состав неналоговых доходов также входят доходы от оказания платных услуг учреждением культуры</w:t>
      </w:r>
      <w:r>
        <w:t xml:space="preserve"> и от компенсации затрат бюджета поселения</w:t>
      </w:r>
      <w:r w:rsidRPr="00CE4603">
        <w:t>. По сравнению с ожидаемым исполнением по неналоговым доходам в 202</w:t>
      </w:r>
      <w:r>
        <w:t>2</w:t>
      </w:r>
      <w:r w:rsidRPr="00CE4603">
        <w:t xml:space="preserve"> году на 202</w:t>
      </w:r>
      <w:r>
        <w:t>3</w:t>
      </w:r>
      <w:r w:rsidRPr="00CE4603">
        <w:t>год и плановый период прогнозируется их увеличение</w:t>
      </w:r>
      <w:r>
        <w:t xml:space="preserve"> на 20 тыс.руб</w:t>
      </w:r>
      <w:r w:rsidRPr="00CE4603">
        <w:t xml:space="preserve">. На </w:t>
      </w:r>
      <w:r>
        <w:t xml:space="preserve">2023 год и каждый год планового периода </w:t>
      </w:r>
      <w:r w:rsidRPr="00CE4603">
        <w:t xml:space="preserve">неналоговые доходы </w:t>
      </w:r>
      <w:r>
        <w:t>проектом решения о бюджете предлагается утвердить</w:t>
      </w:r>
      <w:r w:rsidRPr="00CE4603">
        <w:t xml:space="preserve"> </w:t>
      </w:r>
      <w:r>
        <w:t>по 9</w:t>
      </w:r>
      <w:r w:rsidRPr="00CE4603">
        <w:t>4</w:t>
      </w:r>
      <w:r>
        <w:t>,9</w:t>
      </w:r>
      <w:r w:rsidRPr="00CE4603">
        <w:t xml:space="preserve"> тыс. руб.</w:t>
      </w:r>
    </w:p>
    <w:p w14:paraId="0A5E19C3" w14:textId="77777777" w:rsidR="00CE4603" w:rsidRDefault="00CE4603" w:rsidP="00CE4603">
      <w:pPr>
        <w:ind w:firstLine="567"/>
        <w:jc w:val="center"/>
        <w:rPr>
          <w:b/>
          <w:i/>
        </w:rPr>
      </w:pPr>
      <w:r>
        <w:rPr>
          <w:b/>
          <w:i/>
        </w:rPr>
        <w:t xml:space="preserve">Доходы от использования имущества, находящегося </w:t>
      </w:r>
    </w:p>
    <w:p w14:paraId="570F0476" w14:textId="77777777" w:rsidR="00CE4603" w:rsidRDefault="00CE4603" w:rsidP="00CE4603">
      <w:pPr>
        <w:ind w:firstLine="567"/>
        <w:jc w:val="center"/>
        <w:rPr>
          <w:b/>
          <w:i/>
        </w:rPr>
      </w:pPr>
      <w:r>
        <w:rPr>
          <w:b/>
          <w:i/>
        </w:rPr>
        <w:lastRenderedPageBreak/>
        <w:t>в муниципальной собственности.</w:t>
      </w:r>
    </w:p>
    <w:p w14:paraId="762B0CAA" w14:textId="5A91B024" w:rsidR="00CE4603" w:rsidRDefault="00CE4603" w:rsidP="00CE4603">
      <w:pPr>
        <w:ind w:firstLine="567"/>
        <w:jc w:val="both"/>
      </w:pPr>
      <w:r w:rsidRPr="0041551D">
        <w:t xml:space="preserve">Доходы от использования имущества прогнозируются на </w:t>
      </w:r>
      <w:r>
        <w:t>2023</w:t>
      </w:r>
      <w:r w:rsidRPr="0041551D">
        <w:t xml:space="preserve"> год </w:t>
      </w:r>
      <w:r>
        <w:t xml:space="preserve">и каждый год планового периода </w:t>
      </w:r>
      <w:r w:rsidRPr="0041551D">
        <w:t>в</w:t>
      </w:r>
      <w:r>
        <w:t xml:space="preserve"> размере </w:t>
      </w:r>
      <w:r w:rsidR="002E2C97">
        <w:t xml:space="preserve">по </w:t>
      </w:r>
      <w:r>
        <w:rPr>
          <w:b/>
        </w:rPr>
        <w:t xml:space="preserve">48 </w:t>
      </w:r>
      <w:r w:rsidRPr="001611B6">
        <w:rPr>
          <w:b/>
        </w:rPr>
        <w:t>тыс. руб.,</w:t>
      </w:r>
      <w:r w:rsidRPr="0041551D">
        <w:t xml:space="preserve"> </w:t>
      </w:r>
      <w:r>
        <w:t>что составит</w:t>
      </w:r>
      <w:r w:rsidRPr="0041551D">
        <w:t xml:space="preserve"> </w:t>
      </w:r>
      <w:r>
        <w:t>171,4</w:t>
      </w:r>
      <w:r w:rsidRPr="0041551D">
        <w:t xml:space="preserve">% к оценке </w:t>
      </w:r>
      <w:r>
        <w:t>2022</w:t>
      </w:r>
      <w:r w:rsidRPr="0041551D">
        <w:t xml:space="preserve"> года</w:t>
      </w:r>
      <w:r>
        <w:t>, или с ростом в абсолютном выражении на 20 тыс.руб.</w:t>
      </w:r>
      <w:r w:rsidRPr="0041551D">
        <w:t xml:space="preserve"> </w:t>
      </w:r>
      <w:r>
        <w:t xml:space="preserve">Как следует из пояснительной записки, данный показатель сформирован на основании договора аренды помещения под магазин с ИП Дмитриева Л. Ф. </w:t>
      </w:r>
      <w:r w:rsidR="002E2C97">
        <w:t xml:space="preserve">Стоимость договора, в свою очередь, рассчитана на основании экспертного отчета об оценке объекта. </w:t>
      </w:r>
      <w:r>
        <w:t>Согласно представленного реестра источников доходов бюджета кассовое поступление доходов от использования имущества текущего финансового года по состоянию на 1 ноября 202</w:t>
      </w:r>
      <w:r w:rsidR="002E2C97">
        <w:t>2</w:t>
      </w:r>
      <w:r>
        <w:t xml:space="preserve"> года </w:t>
      </w:r>
      <w:r w:rsidRPr="002C4322">
        <w:t>состав</w:t>
      </w:r>
      <w:r>
        <w:t>ило</w:t>
      </w:r>
      <w:r w:rsidRPr="002C4322">
        <w:t xml:space="preserve"> </w:t>
      </w:r>
      <w:r>
        <w:t>2</w:t>
      </w:r>
      <w:r w:rsidR="002E2C97">
        <w:t>4</w:t>
      </w:r>
      <w:r w:rsidRPr="002C4322">
        <w:t xml:space="preserve"> тыс. руб.</w:t>
      </w:r>
      <w:r>
        <w:t xml:space="preserve"> Поступление доходов от использования имущества планируется от аренды помещения в здании учреждения культуры.</w:t>
      </w:r>
    </w:p>
    <w:p w14:paraId="55D45754" w14:textId="77777777" w:rsidR="00D80372" w:rsidRPr="002C4322" w:rsidRDefault="00D80372" w:rsidP="00D80372">
      <w:pPr>
        <w:ind w:firstLine="567"/>
        <w:jc w:val="center"/>
        <w:rPr>
          <w:b/>
          <w:i/>
        </w:rPr>
      </w:pPr>
      <w:r w:rsidRPr="002C4322">
        <w:rPr>
          <w:b/>
          <w:i/>
        </w:rPr>
        <w:t>Доходы от оказания платных услуг</w:t>
      </w:r>
    </w:p>
    <w:p w14:paraId="4E27219C" w14:textId="616C37AA" w:rsidR="00095638" w:rsidRPr="00C51DD9" w:rsidRDefault="00D80372" w:rsidP="00095638">
      <w:pPr>
        <w:ind w:firstLine="567"/>
        <w:jc w:val="both"/>
        <w:rPr>
          <w:b/>
        </w:rPr>
      </w:pPr>
      <w:r>
        <w:t>В 202</w:t>
      </w:r>
      <w:r w:rsidR="002E2C97">
        <w:t>2</w:t>
      </w:r>
      <w:r>
        <w:t xml:space="preserve"> году от платных услуг ожидается поступление в размере </w:t>
      </w:r>
      <w:r w:rsidR="002E2C97">
        <w:t>42</w:t>
      </w:r>
      <w:r>
        <w:t xml:space="preserve"> тыс. руб. Согласно представленного реестра источников доходов бюджета кассовое поступление доходов от оказания платных услуг текущего финансового го</w:t>
      </w:r>
      <w:r w:rsidR="0055749C">
        <w:t>да по состоянию на 1 ноября 202</w:t>
      </w:r>
      <w:r w:rsidR="002E2C97">
        <w:t>2</w:t>
      </w:r>
      <w:r>
        <w:t xml:space="preserve"> года </w:t>
      </w:r>
      <w:r w:rsidRPr="002C4322">
        <w:t>состав</w:t>
      </w:r>
      <w:r>
        <w:t>ило</w:t>
      </w:r>
      <w:r w:rsidRPr="002C4322">
        <w:t xml:space="preserve"> </w:t>
      </w:r>
      <w:r w:rsidR="002E2C97">
        <w:t>7</w:t>
      </w:r>
      <w:r w:rsidRPr="002C4322">
        <w:t xml:space="preserve"> тыс. руб.</w:t>
      </w:r>
      <w:r>
        <w:t xml:space="preserve">, или </w:t>
      </w:r>
      <w:r w:rsidR="002E2C97">
        <w:t>17</w:t>
      </w:r>
      <w:r>
        <w:t>% от ожидаемого годового исполнения.</w:t>
      </w:r>
      <w:r w:rsidRPr="002C4322">
        <w:t xml:space="preserve"> </w:t>
      </w:r>
      <w:r w:rsidR="0055749C">
        <w:t xml:space="preserve">На </w:t>
      </w:r>
      <w:r w:rsidR="000E76FA">
        <w:t>2023</w:t>
      </w:r>
      <w:r>
        <w:t xml:space="preserve"> год</w:t>
      </w:r>
      <w:r w:rsidR="002E2C97">
        <w:t xml:space="preserve"> и каждый год планового периода</w:t>
      </w:r>
      <w:r>
        <w:t xml:space="preserve"> доходы запланированы </w:t>
      </w:r>
      <w:r w:rsidR="002E2C97">
        <w:t>по</w:t>
      </w:r>
      <w:r w:rsidR="00095638">
        <w:t xml:space="preserve"> </w:t>
      </w:r>
      <w:r w:rsidR="00095638">
        <w:rPr>
          <w:b/>
        </w:rPr>
        <w:t>42 тыс. руб.</w:t>
      </w:r>
      <w:r w:rsidR="002E2C97">
        <w:rPr>
          <w:b/>
        </w:rPr>
        <w:t xml:space="preserve"> ежегодно</w:t>
      </w:r>
      <w:r w:rsidR="00095638">
        <w:rPr>
          <w:b/>
        </w:rPr>
        <w:t xml:space="preserve">, </w:t>
      </w:r>
      <w:r w:rsidR="00095638">
        <w:t xml:space="preserve">или </w:t>
      </w:r>
      <w:r w:rsidR="002E2C97">
        <w:t>на уровне</w:t>
      </w:r>
      <w:r w:rsidR="00095638">
        <w:t xml:space="preserve"> оценк</w:t>
      </w:r>
      <w:r w:rsidR="002E2C97">
        <w:t>и</w:t>
      </w:r>
      <w:r w:rsidR="00095638">
        <w:t xml:space="preserve"> 202</w:t>
      </w:r>
      <w:r w:rsidR="002E2C97">
        <w:t>2</w:t>
      </w:r>
      <w:r w:rsidR="00095638">
        <w:t xml:space="preserve"> года. Доходы прогнозируются от оказания платных услуг учреждением культуры. </w:t>
      </w:r>
      <w:r w:rsidR="00095638" w:rsidRPr="00C51DD9">
        <w:rPr>
          <w:b/>
        </w:rPr>
        <w:t>Обоснования в пояснительной</w:t>
      </w:r>
      <w:r w:rsidR="00095638">
        <w:rPr>
          <w:b/>
        </w:rPr>
        <w:t xml:space="preserve"> записке к проекту </w:t>
      </w:r>
      <w:r w:rsidR="00DA1480">
        <w:rPr>
          <w:b/>
        </w:rPr>
        <w:t xml:space="preserve">бюджета </w:t>
      </w:r>
      <w:r w:rsidR="00DA1480" w:rsidRPr="00C51DD9">
        <w:rPr>
          <w:b/>
        </w:rPr>
        <w:t>отсутствуют</w:t>
      </w:r>
      <w:r w:rsidR="00095638" w:rsidRPr="00C51DD9">
        <w:rPr>
          <w:b/>
        </w:rPr>
        <w:t>.</w:t>
      </w:r>
    </w:p>
    <w:p w14:paraId="4E412D52" w14:textId="4860BA3D" w:rsidR="00D80372" w:rsidRPr="002C4322" w:rsidRDefault="00D80372" w:rsidP="00D80372">
      <w:pPr>
        <w:ind w:firstLine="567"/>
        <w:jc w:val="both"/>
      </w:pPr>
      <w:r>
        <w:t xml:space="preserve"> </w:t>
      </w:r>
      <w:r w:rsidRPr="002C4322">
        <w:t xml:space="preserve">Удельный вес доходов от </w:t>
      </w:r>
      <w:r>
        <w:t>оказания платных услуг</w:t>
      </w:r>
      <w:r w:rsidRPr="002C4322">
        <w:t xml:space="preserve"> в общем объеме </w:t>
      </w:r>
      <w:r>
        <w:t>налоговых и неналоговых</w:t>
      </w:r>
      <w:r w:rsidRPr="002C4322">
        <w:t xml:space="preserve"> доходов на </w:t>
      </w:r>
      <w:r w:rsidR="000E76FA">
        <w:t>2023</w:t>
      </w:r>
      <w:r w:rsidR="00DA1480">
        <w:t>-</w:t>
      </w:r>
      <w:r w:rsidR="000E76FA">
        <w:t>2025</w:t>
      </w:r>
      <w:r>
        <w:t>гг.</w:t>
      </w:r>
      <w:r w:rsidRPr="002C4322">
        <w:t xml:space="preserve"> составляет </w:t>
      </w:r>
      <w:r w:rsidR="00A76BAE">
        <w:t>0,8</w:t>
      </w:r>
      <w:r>
        <w:t>%.</w:t>
      </w:r>
    </w:p>
    <w:p w14:paraId="2557AEE8" w14:textId="77777777" w:rsidR="00D80372" w:rsidRDefault="00D80372" w:rsidP="00D80372">
      <w:pPr>
        <w:ind w:firstLine="567"/>
        <w:jc w:val="center"/>
        <w:rPr>
          <w:b/>
          <w:i/>
        </w:rPr>
      </w:pPr>
      <w:r w:rsidRPr="00E43631">
        <w:rPr>
          <w:b/>
          <w:i/>
        </w:rPr>
        <w:t xml:space="preserve">Доходы от </w:t>
      </w:r>
      <w:r>
        <w:rPr>
          <w:b/>
          <w:i/>
        </w:rPr>
        <w:t>компенсации затрат бюджета поселения</w:t>
      </w:r>
    </w:p>
    <w:p w14:paraId="2FDDB480" w14:textId="1D8ED9CE" w:rsidR="00D80372" w:rsidRPr="00E43631" w:rsidRDefault="00D80372" w:rsidP="00D80372">
      <w:pPr>
        <w:ind w:firstLine="567"/>
        <w:jc w:val="both"/>
      </w:pPr>
      <w:r w:rsidRPr="00E43631">
        <w:t xml:space="preserve">Доходы от компенсации затрат бюджета поселения прогнозируются на </w:t>
      </w:r>
      <w:r w:rsidR="000E76FA">
        <w:t>2023</w:t>
      </w:r>
      <w:r w:rsidRPr="00E43631">
        <w:t xml:space="preserve"> год </w:t>
      </w:r>
      <w:r>
        <w:t>и плановый период</w:t>
      </w:r>
      <w:r w:rsidRPr="00E43631">
        <w:t xml:space="preserve"> в сумме </w:t>
      </w:r>
      <w:r>
        <w:t>по 4,9</w:t>
      </w:r>
      <w:r w:rsidRPr="00E43631">
        <w:t>тыс. руб.</w:t>
      </w:r>
      <w:r>
        <w:t xml:space="preserve"> ежегодно</w:t>
      </w:r>
      <w:r w:rsidRPr="00E43631">
        <w:t xml:space="preserve">, или 100% к ожидаемому поступлению </w:t>
      </w:r>
      <w:r>
        <w:t>202</w:t>
      </w:r>
      <w:r w:rsidR="00A76BAE">
        <w:t>2</w:t>
      </w:r>
      <w:r w:rsidRPr="00E43631">
        <w:t xml:space="preserve"> года. Данный вид дохода планируется от возмещения затрат </w:t>
      </w:r>
      <w:r w:rsidR="00C83758">
        <w:t xml:space="preserve">бюджета </w:t>
      </w:r>
      <w:r w:rsidRPr="00E43631">
        <w:t xml:space="preserve">за </w:t>
      </w:r>
      <w:r w:rsidR="00A76BAE">
        <w:t xml:space="preserve">оплату потребляемой </w:t>
      </w:r>
      <w:r w:rsidRPr="00E43631">
        <w:t>э</w:t>
      </w:r>
      <w:r w:rsidR="00A76BAE">
        <w:t>лектроэнергии</w:t>
      </w:r>
      <w:r w:rsidRPr="00E43631">
        <w:t xml:space="preserve"> </w:t>
      </w:r>
      <w:r>
        <w:t>водозаборны</w:t>
      </w:r>
      <w:r w:rsidR="00A76BAE">
        <w:t>ми</w:t>
      </w:r>
      <w:r>
        <w:t xml:space="preserve"> сооружени</w:t>
      </w:r>
      <w:r w:rsidR="00A76BAE">
        <w:t>ями</w:t>
      </w:r>
      <w:r w:rsidRPr="00E43631">
        <w:t>.</w:t>
      </w:r>
    </w:p>
    <w:p w14:paraId="67627182" w14:textId="77777777" w:rsidR="00D80372" w:rsidRPr="00E43631" w:rsidRDefault="00D80372" w:rsidP="00D80372">
      <w:pPr>
        <w:ind w:firstLine="567"/>
        <w:jc w:val="both"/>
      </w:pPr>
    </w:p>
    <w:p w14:paraId="46A96E5B" w14:textId="77777777" w:rsidR="00D80372" w:rsidRPr="00AA07EA" w:rsidRDefault="00D80372" w:rsidP="00D80372">
      <w:pPr>
        <w:tabs>
          <w:tab w:val="left" w:pos="567"/>
        </w:tabs>
        <w:ind w:firstLine="567"/>
        <w:jc w:val="center"/>
        <w:rPr>
          <w:b/>
          <w:u w:val="single"/>
        </w:rPr>
      </w:pPr>
      <w:r w:rsidRPr="00AA07EA">
        <w:rPr>
          <w:b/>
          <w:u w:val="single"/>
        </w:rPr>
        <w:t>Безвозмездные поступления</w:t>
      </w:r>
    </w:p>
    <w:p w14:paraId="6CFB62A3" w14:textId="54DC054D" w:rsidR="00D80372" w:rsidRDefault="00D80372" w:rsidP="00D80372">
      <w:pPr>
        <w:ind w:firstLine="567"/>
        <w:jc w:val="both"/>
      </w:pPr>
      <w:r w:rsidRPr="00AD408F">
        <w:t xml:space="preserve">Объем безвозмездных поступлений в бюджет </w:t>
      </w:r>
      <w:r>
        <w:t>Каразейс</w:t>
      </w:r>
      <w:r w:rsidRPr="00AD408F">
        <w:t xml:space="preserve">кого муниципального образования определен в соответствии с проектом закона Иркутской области «Об областном бюджете на </w:t>
      </w:r>
      <w:r w:rsidR="000E76FA">
        <w:t>2023</w:t>
      </w:r>
      <w:r w:rsidRPr="00AD408F">
        <w:t xml:space="preserve"> год и плановый период </w:t>
      </w:r>
      <w:r w:rsidR="000E76FA">
        <w:t>2024</w:t>
      </w:r>
      <w:r w:rsidRPr="00AD408F">
        <w:t xml:space="preserve"> и </w:t>
      </w:r>
      <w:r w:rsidR="000E76FA">
        <w:t>2025</w:t>
      </w:r>
      <w:r w:rsidRPr="00AD408F">
        <w:t xml:space="preserve"> годов», проектом решения Думы МО Куйтунский «О бюджете МО Куйтунский район на </w:t>
      </w:r>
      <w:r w:rsidR="000E76FA">
        <w:t>2023</w:t>
      </w:r>
      <w:r w:rsidRPr="00AD408F">
        <w:t xml:space="preserve"> год и плановый период </w:t>
      </w:r>
      <w:r w:rsidR="000E76FA">
        <w:t>2024</w:t>
      </w:r>
      <w:r w:rsidRPr="00AD408F">
        <w:t xml:space="preserve"> и </w:t>
      </w:r>
      <w:r w:rsidR="000E76FA">
        <w:t>2025</w:t>
      </w:r>
      <w:r w:rsidR="006B21F0">
        <w:t xml:space="preserve"> </w:t>
      </w:r>
      <w:r w:rsidRPr="00AD408F">
        <w:t>годов».</w:t>
      </w:r>
    </w:p>
    <w:p w14:paraId="0303EF4B" w14:textId="1F948E79" w:rsidR="00D80372" w:rsidRPr="00BE7780" w:rsidRDefault="00D80372" w:rsidP="00D80372">
      <w:pPr>
        <w:ind w:firstLine="567"/>
        <w:jc w:val="both"/>
      </w:pPr>
      <w:r>
        <w:t>Б</w:t>
      </w:r>
      <w:r w:rsidRPr="00BE7780">
        <w:t>езвозмездны</w:t>
      </w:r>
      <w:r>
        <w:t>е поступления</w:t>
      </w:r>
      <w:r w:rsidRPr="00BE7780">
        <w:t xml:space="preserve"> от других бюджетов бюджетной системы РФ </w:t>
      </w:r>
      <w:r w:rsidRPr="00737EAB">
        <w:t xml:space="preserve">на </w:t>
      </w:r>
      <w:r w:rsidR="000E76FA">
        <w:t>2023</w:t>
      </w:r>
      <w:r w:rsidRPr="00737EAB">
        <w:t xml:space="preserve"> год запланирован</w:t>
      </w:r>
      <w:r>
        <w:t>ы</w:t>
      </w:r>
      <w:r w:rsidRPr="00737EAB">
        <w:t xml:space="preserve"> в сумме </w:t>
      </w:r>
      <w:r w:rsidR="00C83758">
        <w:t>9971</w:t>
      </w:r>
      <w:r w:rsidR="006B21F0">
        <w:t xml:space="preserve"> </w:t>
      </w:r>
      <w:r w:rsidRPr="00737EAB">
        <w:t xml:space="preserve">тыс. руб., или </w:t>
      </w:r>
      <w:r w:rsidR="00C83758">
        <w:t>64,6</w:t>
      </w:r>
      <w:r>
        <w:t>%</w:t>
      </w:r>
      <w:r w:rsidRPr="00737EAB">
        <w:t xml:space="preserve"> к ожидаемому поступлению </w:t>
      </w:r>
      <w:r>
        <w:t>202</w:t>
      </w:r>
      <w:r w:rsidR="00C83758">
        <w:t>2</w:t>
      </w:r>
      <w:r w:rsidRPr="00737EAB">
        <w:t xml:space="preserve"> года. В </w:t>
      </w:r>
      <w:r w:rsidR="000E76FA">
        <w:t>2024</w:t>
      </w:r>
      <w:r w:rsidRPr="00737EAB">
        <w:t xml:space="preserve"> году – </w:t>
      </w:r>
      <w:r w:rsidR="00C83758">
        <w:t>8153,5</w:t>
      </w:r>
      <w:r w:rsidRPr="00737EAB">
        <w:t xml:space="preserve"> тыс. руб.</w:t>
      </w:r>
      <w:r>
        <w:t>,</w:t>
      </w:r>
      <w:r w:rsidRPr="00737EAB">
        <w:t xml:space="preserve"> или </w:t>
      </w:r>
      <w:r w:rsidR="00C83758">
        <w:t>81,8</w:t>
      </w:r>
      <w:r w:rsidRPr="00737EAB">
        <w:t xml:space="preserve">% к уровню </w:t>
      </w:r>
      <w:r w:rsidR="000E76FA">
        <w:t>2023</w:t>
      </w:r>
      <w:r w:rsidRPr="00737EAB">
        <w:t xml:space="preserve"> года, в </w:t>
      </w:r>
      <w:r w:rsidR="000E76FA">
        <w:t>2025</w:t>
      </w:r>
      <w:r w:rsidRPr="00737EAB">
        <w:t xml:space="preserve"> году –</w:t>
      </w:r>
      <w:r>
        <w:t xml:space="preserve"> </w:t>
      </w:r>
      <w:r w:rsidR="00C83758">
        <w:t>9303,4</w:t>
      </w:r>
      <w:r>
        <w:t xml:space="preserve"> тыс. руб., или </w:t>
      </w:r>
      <w:r w:rsidR="00C83758">
        <w:t>114,1</w:t>
      </w:r>
      <w:r w:rsidRPr="00737EAB">
        <w:t xml:space="preserve">% к уровню </w:t>
      </w:r>
      <w:r w:rsidR="000E76FA">
        <w:t>2024</w:t>
      </w:r>
      <w:r w:rsidR="00215D07">
        <w:t xml:space="preserve"> года, в том числе:</w:t>
      </w:r>
    </w:p>
    <w:p w14:paraId="48FFCF43" w14:textId="12574816" w:rsidR="00625F47" w:rsidRDefault="00D80372" w:rsidP="00D80372">
      <w:pPr>
        <w:ind w:firstLine="567"/>
        <w:jc w:val="both"/>
      </w:pPr>
      <w:r>
        <w:t xml:space="preserve">- дотации </w:t>
      </w:r>
      <w:r w:rsidRPr="00737EAB">
        <w:t>на выравнивание бюджетной обеспеченности поселения</w:t>
      </w:r>
      <w:r>
        <w:t xml:space="preserve"> (из районного бюджета)</w:t>
      </w:r>
      <w:r w:rsidRPr="00737EAB">
        <w:t xml:space="preserve"> </w:t>
      </w:r>
      <w:r>
        <w:t>запланированы на 202</w:t>
      </w:r>
      <w:r w:rsidR="00C83758">
        <w:t>3</w:t>
      </w:r>
      <w:r>
        <w:t xml:space="preserve"> год в сумме </w:t>
      </w:r>
      <w:r w:rsidR="00C83758">
        <w:t>9314,7</w:t>
      </w:r>
      <w:r>
        <w:t xml:space="preserve"> тыс. руб., что </w:t>
      </w:r>
      <w:r w:rsidR="00C46175">
        <w:t>меньше ожидаемого исполнения 202</w:t>
      </w:r>
      <w:r w:rsidR="00C83758">
        <w:t>2</w:t>
      </w:r>
      <w:r>
        <w:t xml:space="preserve"> года на </w:t>
      </w:r>
      <w:r w:rsidR="00C83758">
        <w:t>155</w:t>
      </w:r>
      <w:r w:rsidR="00625F47">
        <w:t xml:space="preserve"> </w:t>
      </w:r>
      <w:r>
        <w:t>тыс.</w:t>
      </w:r>
      <w:r w:rsidR="00625F47">
        <w:t xml:space="preserve"> </w:t>
      </w:r>
      <w:r>
        <w:t xml:space="preserve">руб. В </w:t>
      </w:r>
      <w:r w:rsidR="000E76FA">
        <w:t>2024</w:t>
      </w:r>
      <w:r>
        <w:t xml:space="preserve"> году дотации запланированы в объеме </w:t>
      </w:r>
      <w:r w:rsidR="00C83758">
        <w:t>7521,7</w:t>
      </w:r>
      <w:r w:rsidR="00625F47">
        <w:t xml:space="preserve"> тыс. руб., в </w:t>
      </w:r>
      <w:r w:rsidR="000E76FA">
        <w:t>2025</w:t>
      </w:r>
      <w:r>
        <w:t xml:space="preserve"> году – </w:t>
      </w:r>
      <w:r w:rsidR="00C83758">
        <w:t>7533</w:t>
      </w:r>
      <w:r>
        <w:t xml:space="preserve"> тыс. руб.</w:t>
      </w:r>
    </w:p>
    <w:p w14:paraId="18BF0DF8" w14:textId="23EE5403" w:rsidR="00A4277B" w:rsidRDefault="00A4277B" w:rsidP="00A4277B">
      <w:pPr>
        <w:ind w:firstLine="539"/>
        <w:jc w:val="both"/>
      </w:pPr>
      <w:r>
        <w:t>- с</w:t>
      </w:r>
      <w:r w:rsidRPr="00E00E58">
        <w:t>убвенци</w:t>
      </w:r>
      <w:r>
        <w:t>и</w:t>
      </w:r>
      <w:r w:rsidRPr="00E00E58">
        <w:t xml:space="preserve"> (на осуществление первичного воинского учета, на выполнение государственных полномочий составлять протоколы об административных правонарушениях</w:t>
      </w:r>
      <w:r>
        <w:t xml:space="preserve">, </w:t>
      </w:r>
      <w:r w:rsidR="00C83758">
        <w:t>на осуществление о</w:t>
      </w:r>
      <w:r w:rsidR="00C83758" w:rsidRPr="00C83758">
        <w:t>тдельных областных государственных полномочий в сфере водоснабжения и водоотведения</w:t>
      </w:r>
      <w:r w:rsidRPr="00E00E58">
        <w:t>) запланирован</w:t>
      </w:r>
      <w:r>
        <w:t>ы</w:t>
      </w:r>
      <w:r w:rsidRPr="00E00E58">
        <w:t xml:space="preserve"> на </w:t>
      </w:r>
      <w:r w:rsidR="000E76FA">
        <w:t>2023</w:t>
      </w:r>
      <w:r w:rsidRPr="00E00E58">
        <w:t xml:space="preserve"> год</w:t>
      </w:r>
      <w:r>
        <w:t xml:space="preserve"> в сумме </w:t>
      </w:r>
      <w:r w:rsidR="00C83758">
        <w:t>223,5</w:t>
      </w:r>
      <w:r>
        <w:t>тыс. руб., или 1</w:t>
      </w:r>
      <w:r w:rsidR="00C83758">
        <w:t>1</w:t>
      </w:r>
      <w:r>
        <w:t>0,5</w:t>
      </w:r>
      <w:r w:rsidR="00C83758">
        <w:t>%</w:t>
      </w:r>
      <w:r>
        <w:t xml:space="preserve"> к ожидаемому исполнению 202</w:t>
      </w:r>
      <w:r w:rsidR="00C83758">
        <w:t>2</w:t>
      </w:r>
      <w:r>
        <w:t xml:space="preserve"> года, на </w:t>
      </w:r>
      <w:r w:rsidR="000E76FA">
        <w:t>2024</w:t>
      </w:r>
      <w:r>
        <w:t xml:space="preserve">г. – </w:t>
      </w:r>
      <w:r w:rsidR="00C83758">
        <w:t>231,8</w:t>
      </w:r>
      <w:r>
        <w:t xml:space="preserve"> тыс. руб., или </w:t>
      </w:r>
      <w:r w:rsidR="00C83758">
        <w:t>103,7</w:t>
      </w:r>
      <w:r>
        <w:t xml:space="preserve">% к уровню </w:t>
      </w:r>
      <w:r w:rsidR="000E76FA">
        <w:t>2023</w:t>
      </w:r>
      <w:r>
        <w:t xml:space="preserve">г., на </w:t>
      </w:r>
      <w:r w:rsidR="000E76FA">
        <w:t>2025</w:t>
      </w:r>
      <w:r w:rsidR="00C83758">
        <w:t>г</w:t>
      </w:r>
      <w:r>
        <w:t xml:space="preserve">. – </w:t>
      </w:r>
      <w:r w:rsidR="00C83758">
        <w:t>238,6</w:t>
      </w:r>
      <w:r>
        <w:t xml:space="preserve"> тыс. руб., или 102,</w:t>
      </w:r>
      <w:r w:rsidR="00C83758">
        <w:t>9</w:t>
      </w:r>
      <w:r>
        <w:t xml:space="preserve">% к уровню </w:t>
      </w:r>
      <w:r w:rsidR="000E76FA">
        <w:t>2024</w:t>
      </w:r>
      <w:r>
        <w:t>г.</w:t>
      </w:r>
    </w:p>
    <w:p w14:paraId="7487984A" w14:textId="213F0B33" w:rsidR="005338D3" w:rsidRDefault="00CE3213" w:rsidP="00CE3213">
      <w:pPr>
        <w:ind w:firstLine="567"/>
        <w:jc w:val="both"/>
      </w:pPr>
      <w:r>
        <w:t xml:space="preserve">- субсидии на реализацию мероприятий народных инициатив </w:t>
      </w:r>
      <w:r w:rsidR="00C83758">
        <w:t>запланированы на предстоящий финансовый год в объеме</w:t>
      </w:r>
      <w:r>
        <w:t xml:space="preserve"> </w:t>
      </w:r>
      <w:r w:rsidR="00C83758">
        <w:t>432,8</w:t>
      </w:r>
      <w:r>
        <w:t xml:space="preserve"> тыс. руб.</w:t>
      </w:r>
      <w:r w:rsidR="00C83758">
        <w:t xml:space="preserve">, на 2024-2025гг. - по 400тыс.руб. </w:t>
      </w:r>
      <w:r>
        <w:t>ежегодно.</w:t>
      </w:r>
      <w:r w:rsidRPr="003743B4">
        <w:t xml:space="preserve"> </w:t>
      </w:r>
    </w:p>
    <w:p w14:paraId="10EA4DBD" w14:textId="2D4DC71F" w:rsidR="005338D3" w:rsidRDefault="00CE3213" w:rsidP="00CE3213">
      <w:pPr>
        <w:ind w:firstLine="567"/>
        <w:jc w:val="both"/>
      </w:pPr>
      <w:r w:rsidRPr="005338D3">
        <w:t>- субсиди</w:t>
      </w:r>
      <w:r w:rsidR="00C83758">
        <w:t>я</w:t>
      </w:r>
      <w:r w:rsidRPr="005338D3">
        <w:t xml:space="preserve"> </w:t>
      </w:r>
      <w:r w:rsidR="00C83758">
        <w:t xml:space="preserve">на </w:t>
      </w:r>
      <w:r w:rsidR="009530CB">
        <w:t>с</w:t>
      </w:r>
      <w:r w:rsidR="00C83758" w:rsidRPr="00C83758">
        <w:t>офинансирование мероприятий по сбору, транспортированию и утилизации (захоронению) ТКО с несанкционированных мест размещения</w:t>
      </w:r>
      <w:r w:rsidR="009530CB">
        <w:t xml:space="preserve"> ТКО </w:t>
      </w:r>
      <w:r w:rsidR="005338D3" w:rsidRPr="005338D3">
        <w:t>предусмотрен</w:t>
      </w:r>
      <w:r w:rsidR="009530CB">
        <w:t>а</w:t>
      </w:r>
      <w:r w:rsidR="005338D3" w:rsidRPr="005338D3">
        <w:t xml:space="preserve"> </w:t>
      </w:r>
      <w:r w:rsidRPr="005338D3">
        <w:t xml:space="preserve">на </w:t>
      </w:r>
      <w:r w:rsidR="000E76FA">
        <w:t>202</w:t>
      </w:r>
      <w:r w:rsidR="009530CB">
        <w:t>5</w:t>
      </w:r>
      <w:r w:rsidRPr="005338D3">
        <w:t xml:space="preserve"> год в объеме </w:t>
      </w:r>
      <w:r w:rsidR="009530CB">
        <w:t>1131</w:t>
      </w:r>
      <w:r w:rsidRPr="005338D3">
        <w:t>,8 тыс. руб.</w:t>
      </w:r>
      <w:r w:rsidR="00413BBA">
        <w:t xml:space="preserve"> </w:t>
      </w:r>
    </w:p>
    <w:p w14:paraId="5355AFA5" w14:textId="77777777" w:rsidR="009530CB" w:rsidRDefault="009530CB" w:rsidP="00CE3213">
      <w:pPr>
        <w:ind w:firstLine="567"/>
        <w:jc w:val="both"/>
      </w:pPr>
    </w:p>
    <w:p w14:paraId="07B51312" w14:textId="77777777" w:rsidR="00D80372" w:rsidRPr="004E4D39" w:rsidRDefault="00D80372" w:rsidP="00D80372">
      <w:pPr>
        <w:autoSpaceDE w:val="0"/>
        <w:autoSpaceDN w:val="0"/>
        <w:adjustRightInd w:val="0"/>
        <w:ind w:firstLine="540"/>
        <w:jc w:val="center"/>
        <w:rPr>
          <w:rFonts w:eastAsia="SimSun"/>
          <w:b/>
        </w:rPr>
      </w:pPr>
      <w:r>
        <w:rPr>
          <w:rFonts w:eastAsia="SimSun"/>
          <w:b/>
        </w:rPr>
        <w:t>3</w:t>
      </w:r>
      <w:r w:rsidRPr="00E74888">
        <w:rPr>
          <w:rFonts w:eastAsia="SimSun"/>
          <w:b/>
        </w:rPr>
        <w:t>.</w:t>
      </w:r>
      <w:r>
        <w:rPr>
          <w:rFonts w:eastAsia="SimSun"/>
          <w:b/>
        </w:rPr>
        <w:t>2</w:t>
      </w:r>
      <w:r w:rsidRPr="00E74888">
        <w:rPr>
          <w:rFonts w:eastAsia="SimSun"/>
          <w:b/>
        </w:rPr>
        <w:t xml:space="preserve"> </w:t>
      </w:r>
      <w:r w:rsidRPr="004E4D39">
        <w:rPr>
          <w:rFonts w:eastAsia="SimSun"/>
          <w:b/>
        </w:rPr>
        <w:t xml:space="preserve">Характеристика проекта бюджета </w:t>
      </w:r>
      <w:r>
        <w:rPr>
          <w:rFonts w:eastAsia="SimSun"/>
          <w:b/>
        </w:rPr>
        <w:t>Каразейского</w:t>
      </w:r>
      <w:r w:rsidRPr="004E4D39">
        <w:rPr>
          <w:rFonts w:eastAsia="SimSun"/>
          <w:b/>
        </w:rPr>
        <w:t xml:space="preserve"> МО по </w:t>
      </w:r>
      <w:r>
        <w:rPr>
          <w:rFonts w:eastAsia="SimSun"/>
          <w:b/>
        </w:rPr>
        <w:t>рас</w:t>
      </w:r>
      <w:r w:rsidRPr="004E4D39">
        <w:rPr>
          <w:rFonts w:eastAsia="SimSun"/>
          <w:b/>
        </w:rPr>
        <w:t>ходам</w:t>
      </w:r>
    </w:p>
    <w:p w14:paraId="48A950FC" w14:textId="5C8F32DC" w:rsidR="00D80372" w:rsidRDefault="00D80372" w:rsidP="00D80372">
      <w:pPr>
        <w:autoSpaceDE w:val="0"/>
        <w:autoSpaceDN w:val="0"/>
        <w:adjustRightInd w:val="0"/>
        <w:ind w:firstLine="540"/>
        <w:jc w:val="center"/>
        <w:rPr>
          <w:rFonts w:eastAsia="SimSun"/>
          <w:b/>
        </w:rPr>
      </w:pPr>
      <w:r w:rsidRPr="004E4D39">
        <w:rPr>
          <w:rFonts w:eastAsia="SimSun"/>
          <w:b/>
        </w:rPr>
        <w:t xml:space="preserve">на </w:t>
      </w:r>
      <w:r w:rsidR="000E76FA">
        <w:rPr>
          <w:rFonts w:eastAsia="SimSun"/>
          <w:b/>
        </w:rPr>
        <w:t>2023</w:t>
      </w:r>
      <w:r w:rsidRPr="004E4D39">
        <w:rPr>
          <w:rFonts w:eastAsia="SimSun"/>
          <w:b/>
        </w:rPr>
        <w:t xml:space="preserve"> год и плановый период </w:t>
      </w:r>
      <w:r w:rsidR="000E76FA">
        <w:rPr>
          <w:rFonts w:eastAsia="SimSun"/>
          <w:b/>
        </w:rPr>
        <w:t>2024</w:t>
      </w:r>
      <w:r w:rsidRPr="004E4D39">
        <w:rPr>
          <w:rFonts w:eastAsia="SimSun"/>
          <w:b/>
        </w:rPr>
        <w:t>-</w:t>
      </w:r>
      <w:r w:rsidR="000E76FA">
        <w:rPr>
          <w:rFonts w:eastAsia="SimSun"/>
          <w:b/>
        </w:rPr>
        <w:t>2025</w:t>
      </w:r>
      <w:r w:rsidRPr="004E4D39">
        <w:rPr>
          <w:rFonts w:eastAsia="SimSun"/>
          <w:b/>
        </w:rPr>
        <w:t>гг.</w:t>
      </w:r>
    </w:p>
    <w:p w14:paraId="2294BD46" w14:textId="65F04319" w:rsidR="00D80372" w:rsidRDefault="00D80372" w:rsidP="00D80372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542137">
        <w:rPr>
          <w:rFonts w:eastAsia="SimSun"/>
        </w:rPr>
        <w:t xml:space="preserve"> Бюджетные ассигнования на реализацию расходных обязательств </w:t>
      </w:r>
      <w:r>
        <w:rPr>
          <w:rFonts w:eastAsia="SimSun"/>
        </w:rPr>
        <w:t>Каразейского</w:t>
      </w:r>
      <w:r w:rsidRPr="00542137">
        <w:rPr>
          <w:rFonts w:eastAsia="SimSun"/>
        </w:rPr>
        <w:t xml:space="preserve"> </w:t>
      </w:r>
      <w:r>
        <w:rPr>
          <w:rFonts w:eastAsia="SimSun"/>
        </w:rPr>
        <w:t>МО</w:t>
      </w:r>
      <w:r w:rsidRPr="00542137">
        <w:rPr>
          <w:rFonts w:eastAsia="SimSun"/>
        </w:rPr>
        <w:t xml:space="preserve">  на </w:t>
      </w:r>
      <w:r w:rsidR="000E76FA">
        <w:rPr>
          <w:rFonts w:eastAsia="SimSun"/>
        </w:rPr>
        <w:t>2023</w:t>
      </w:r>
      <w:r w:rsidRPr="00542137">
        <w:rPr>
          <w:rFonts w:eastAsia="SimSun"/>
        </w:rPr>
        <w:t>г.</w:t>
      </w:r>
      <w:r>
        <w:rPr>
          <w:rFonts w:eastAsia="SimSun"/>
        </w:rPr>
        <w:t xml:space="preserve"> </w:t>
      </w:r>
      <w:r w:rsidRPr="00542137">
        <w:rPr>
          <w:rFonts w:eastAsia="SimSun"/>
        </w:rPr>
        <w:t xml:space="preserve">запланированы в объеме </w:t>
      </w:r>
      <w:r w:rsidR="00FD759D">
        <w:rPr>
          <w:rFonts w:eastAsia="SimSun"/>
        </w:rPr>
        <w:t>14955,5</w:t>
      </w:r>
      <w:r>
        <w:rPr>
          <w:rFonts w:eastAsia="SimSun"/>
        </w:rPr>
        <w:t xml:space="preserve"> </w:t>
      </w:r>
      <w:r w:rsidRPr="00542137">
        <w:rPr>
          <w:rFonts w:eastAsia="SimSun"/>
        </w:rPr>
        <w:t>тыс.</w:t>
      </w:r>
      <w:r>
        <w:rPr>
          <w:rFonts w:eastAsia="SimSun"/>
        </w:rPr>
        <w:t xml:space="preserve"> </w:t>
      </w:r>
      <w:r w:rsidRPr="00542137">
        <w:rPr>
          <w:rFonts w:eastAsia="SimSun"/>
        </w:rPr>
        <w:t xml:space="preserve">руб., на плановый период </w:t>
      </w:r>
      <w:r w:rsidR="000E76FA">
        <w:rPr>
          <w:rFonts w:eastAsia="SimSun"/>
        </w:rPr>
        <w:t>2024</w:t>
      </w:r>
      <w:r w:rsidRPr="00542137">
        <w:rPr>
          <w:rFonts w:eastAsia="SimSun"/>
        </w:rPr>
        <w:t xml:space="preserve">г. – </w:t>
      </w:r>
      <w:r w:rsidR="00FD759D">
        <w:rPr>
          <w:rFonts w:eastAsia="SimSun"/>
        </w:rPr>
        <w:t>13319,4</w:t>
      </w:r>
      <w:r w:rsidRPr="00542137">
        <w:rPr>
          <w:rFonts w:eastAsia="SimSun"/>
        </w:rPr>
        <w:t>тыс.ру</w:t>
      </w:r>
      <w:r>
        <w:rPr>
          <w:rFonts w:eastAsia="SimSun"/>
        </w:rPr>
        <w:t>б</w:t>
      </w:r>
      <w:r w:rsidRPr="00542137">
        <w:rPr>
          <w:rFonts w:eastAsia="SimSun"/>
        </w:rPr>
        <w:t xml:space="preserve">., на </w:t>
      </w:r>
      <w:r w:rsidR="000E76FA">
        <w:rPr>
          <w:rFonts w:eastAsia="SimSun"/>
        </w:rPr>
        <w:t>2025</w:t>
      </w:r>
      <w:r w:rsidRPr="00542137">
        <w:rPr>
          <w:rFonts w:eastAsia="SimSun"/>
        </w:rPr>
        <w:t>г. –</w:t>
      </w:r>
      <w:r>
        <w:rPr>
          <w:rFonts w:eastAsia="SimSun"/>
        </w:rPr>
        <w:t xml:space="preserve"> </w:t>
      </w:r>
      <w:r w:rsidR="00FD759D">
        <w:rPr>
          <w:rFonts w:eastAsia="SimSun"/>
        </w:rPr>
        <w:t>14550,9</w:t>
      </w:r>
      <w:r w:rsidR="00DD763C">
        <w:rPr>
          <w:rFonts w:eastAsia="SimSun"/>
        </w:rPr>
        <w:t xml:space="preserve"> </w:t>
      </w:r>
      <w:r w:rsidRPr="00542137">
        <w:rPr>
          <w:rFonts w:eastAsia="SimSun"/>
        </w:rPr>
        <w:t>тыс.</w:t>
      </w:r>
      <w:r w:rsidR="00DD763C">
        <w:rPr>
          <w:rFonts w:eastAsia="SimSun"/>
        </w:rPr>
        <w:t xml:space="preserve"> </w:t>
      </w:r>
      <w:r w:rsidRPr="00542137">
        <w:rPr>
          <w:rFonts w:eastAsia="SimSun"/>
        </w:rPr>
        <w:t>руб.</w:t>
      </w:r>
      <w:r>
        <w:rPr>
          <w:rFonts w:eastAsia="SimSun"/>
        </w:rPr>
        <w:t xml:space="preserve"> </w:t>
      </w:r>
      <w:r w:rsidRPr="00E74888">
        <w:rPr>
          <w:rFonts w:eastAsia="SimSun"/>
        </w:rPr>
        <w:t xml:space="preserve">Основными направлениями расходов бюджета поселения на </w:t>
      </w:r>
      <w:r w:rsidR="000E76FA">
        <w:rPr>
          <w:rFonts w:eastAsia="SimSun"/>
        </w:rPr>
        <w:t>2023</w:t>
      </w:r>
      <w:r w:rsidRPr="00E74888">
        <w:rPr>
          <w:rFonts w:eastAsia="SimSun"/>
        </w:rPr>
        <w:t xml:space="preserve"> год</w:t>
      </w:r>
      <w:r>
        <w:rPr>
          <w:rFonts w:eastAsia="SimSun"/>
        </w:rPr>
        <w:t xml:space="preserve"> и плановый период </w:t>
      </w:r>
      <w:r w:rsidR="000E76FA">
        <w:rPr>
          <w:rFonts w:eastAsia="SimSun"/>
        </w:rPr>
        <w:t>2024</w:t>
      </w:r>
      <w:r>
        <w:rPr>
          <w:rFonts w:eastAsia="SimSun"/>
        </w:rPr>
        <w:t xml:space="preserve"> и </w:t>
      </w:r>
      <w:r w:rsidR="000E76FA">
        <w:rPr>
          <w:rFonts w:eastAsia="SimSun"/>
        </w:rPr>
        <w:t>2025</w:t>
      </w:r>
      <w:r>
        <w:rPr>
          <w:rFonts w:eastAsia="SimSun"/>
        </w:rPr>
        <w:t>годов</w:t>
      </w:r>
      <w:r w:rsidRPr="00E74888">
        <w:rPr>
          <w:rFonts w:eastAsia="SimSun"/>
        </w:rPr>
        <w:t xml:space="preserve"> остаются, как и в предыдущие годы, </w:t>
      </w:r>
      <w:r>
        <w:rPr>
          <w:rFonts w:eastAsia="SimSun"/>
        </w:rPr>
        <w:t>расходы на культуру (3</w:t>
      </w:r>
      <w:r w:rsidR="00DD763C">
        <w:rPr>
          <w:rFonts w:eastAsia="SimSun"/>
        </w:rPr>
        <w:t>7</w:t>
      </w:r>
      <w:r w:rsidR="00421FC2">
        <w:rPr>
          <w:rFonts w:eastAsia="SimSun"/>
        </w:rPr>
        <w:t>,6</w:t>
      </w:r>
      <w:r>
        <w:rPr>
          <w:rFonts w:eastAsia="SimSun"/>
        </w:rPr>
        <w:t>-</w:t>
      </w:r>
      <w:r w:rsidR="00421FC2">
        <w:rPr>
          <w:rFonts w:eastAsia="SimSun"/>
        </w:rPr>
        <w:t>42,2</w:t>
      </w:r>
      <w:r w:rsidRPr="00E74888">
        <w:rPr>
          <w:rFonts w:eastAsia="SimSun"/>
        </w:rPr>
        <w:t>% в общих расходах бюджета)</w:t>
      </w:r>
      <w:r w:rsidR="00421FC2">
        <w:rPr>
          <w:rFonts w:eastAsia="SimSun"/>
        </w:rPr>
        <w:t xml:space="preserve"> и на</w:t>
      </w:r>
      <w:r w:rsidRPr="00E74888">
        <w:rPr>
          <w:rFonts w:eastAsia="SimSun"/>
        </w:rPr>
        <w:t xml:space="preserve"> </w:t>
      </w:r>
      <w:r>
        <w:rPr>
          <w:rFonts w:eastAsia="SimSun"/>
        </w:rPr>
        <w:t>общегосударственные вопросы</w:t>
      </w:r>
      <w:r w:rsidRPr="00E74888">
        <w:rPr>
          <w:rFonts w:eastAsia="SimSun"/>
        </w:rPr>
        <w:t xml:space="preserve"> (</w:t>
      </w:r>
      <w:r w:rsidR="00DD763C">
        <w:rPr>
          <w:rFonts w:eastAsia="SimSun"/>
        </w:rPr>
        <w:t>3</w:t>
      </w:r>
      <w:r w:rsidR="00421FC2">
        <w:rPr>
          <w:rFonts w:eastAsia="SimSun"/>
        </w:rPr>
        <w:t>0,1</w:t>
      </w:r>
      <w:r>
        <w:rPr>
          <w:rFonts w:eastAsia="SimSun"/>
        </w:rPr>
        <w:t>-</w:t>
      </w:r>
      <w:r w:rsidR="00DD763C">
        <w:rPr>
          <w:rFonts w:eastAsia="SimSun"/>
        </w:rPr>
        <w:t>3</w:t>
      </w:r>
      <w:r w:rsidR="00421FC2">
        <w:rPr>
          <w:rFonts w:eastAsia="SimSun"/>
        </w:rPr>
        <w:t>6,2</w:t>
      </w:r>
      <w:r w:rsidR="00DD763C">
        <w:rPr>
          <w:rFonts w:eastAsia="SimSun"/>
        </w:rPr>
        <w:t>%</w:t>
      </w:r>
      <w:r w:rsidRPr="00E74888">
        <w:rPr>
          <w:rFonts w:eastAsia="SimSun"/>
        </w:rPr>
        <w:t xml:space="preserve"> в общих расходах бюджета)</w:t>
      </w:r>
      <w:r w:rsidR="00EF4CAE">
        <w:rPr>
          <w:rFonts w:eastAsia="SimSun"/>
        </w:rPr>
        <w:t>.</w:t>
      </w:r>
      <w:r w:rsidRPr="009F1081">
        <w:t xml:space="preserve"> </w:t>
      </w:r>
      <w:r w:rsidRPr="009F1081">
        <w:rPr>
          <w:rFonts w:eastAsia="SimSun"/>
        </w:rPr>
        <w:t xml:space="preserve">Условно утверждаемые расходы на </w:t>
      </w:r>
      <w:r w:rsidR="000E76FA">
        <w:rPr>
          <w:rFonts w:eastAsia="SimSun"/>
        </w:rPr>
        <w:t>2023</w:t>
      </w:r>
      <w:r w:rsidRPr="009F1081">
        <w:rPr>
          <w:rFonts w:eastAsia="SimSun"/>
        </w:rPr>
        <w:t xml:space="preserve"> год и </w:t>
      </w:r>
      <w:r w:rsidR="000E76FA">
        <w:rPr>
          <w:rFonts w:eastAsia="SimSun"/>
        </w:rPr>
        <w:t>2024</w:t>
      </w:r>
      <w:r w:rsidRPr="009F1081">
        <w:rPr>
          <w:rFonts w:eastAsia="SimSun"/>
        </w:rPr>
        <w:t xml:space="preserve"> год запланированы с учетом норм бюджетного законодательства</w:t>
      </w:r>
      <w:r>
        <w:rPr>
          <w:rFonts w:eastAsia="SimSun"/>
        </w:rPr>
        <w:t xml:space="preserve"> </w:t>
      </w:r>
      <w:r w:rsidRPr="009F1081">
        <w:rPr>
          <w:rFonts w:eastAsia="SimSun"/>
        </w:rPr>
        <w:t xml:space="preserve">— </w:t>
      </w:r>
      <w:r>
        <w:rPr>
          <w:rFonts w:eastAsia="SimSun"/>
        </w:rPr>
        <w:t xml:space="preserve">не менее </w:t>
      </w:r>
      <w:r w:rsidRPr="009F1081">
        <w:rPr>
          <w:rFonts w:eastAsia="SimSun"/>
        </w:rPr>
        <w:t>2,5% и 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соответственно</w:t>
      </w:r>
      <w:r>
        <w:rPr>
          <w:rFonts w:eastAsia="SimSun"/>
        </w:rPr>
        <w:t xml:space="preserve">. </w:t>
      </w:r>
    </w:p>
    <w:p w14:paraId="3F2DE538" w14:textId="1DF2C4E4" w:rsidR="00D80372" w:rsidRPr="001C580F" w:rsidRDefault="00D80372" w:rsidP="00D80372">
      <w:pPr>
        <w:jc w:val="both"/>
        <w:rPr>
          <w:rFonts w:eastAsia="SimSun"/>
        </w:rPr>
      </w:pPr>
      <w:r w:rsidRPr="00983219">
        <w:rPr>
          <w:rFonts w:eastAsia="SimSun"/>
        </w:rPr>
        <w:tab/>
      </w:r>
      <w:r w:rsidRPr="0050683D">
        <w:rPr>
          <w:rFonts w:eastAsia="SimSun"/>
          <w:lang w:val="x-none"/>
        </w:rPr>
        <w:t xml:space="preserve">Сравнительный анализ расходов местного бюджета по разделам в </w:t>
      </w:r>
      <w:r w:rsidR="000E721E">
        <w:rPr>
          <w:rFonts w:eastAsia="SimSun"/>
          <w:lang w:val="x-none"/>
        </w:rPr>
        <w:t>202</w:t>
      </w:r>
      <w:r w:rsidR="00FD759D">
        <w:rPr>
          <w:rFonts w:eastAsia="SimSun"/>
        </w:rPr>
        <w:t>2</w:t>
      </w:r>
      <w:r w:rsidRPr="0050683D">
        <w:rPr>
          <w:rFonts w:eastAsia="SimSun"/>
          <w:lang w:val="x-none"/>
        </w:rPr>
        <w:t>-</w:t>
      </w:r>
      <w:r w:rsidR="000E76FA">
        <w:rPr>
          <w:rFonts w:eastAsia="SimSun"/>
          <w:lang w:val="x-none"/>
        </w:rPr>
        <w:t>2025</w:t>
      </w:r>
      <w:r w:rsidRPr="0050683D">
        <w:rPr>
          <w:rFonts w:eastAsia="SimSun"/>
          <w:lang w:val="x-none"/>
        </w:rPr>
        <w:t>годах представлен в таблице №</w:t>
      </w:r>
      <w:r w:rsidR="00FD759D">
        <w:rPr>
          <w:rFonts w:eastAsia="SimSun"/>
        </w:rPr>
        <w:t xml:space="preserve"> 4</w:t>
      </w:r>
      <w:r>
        <w:rPr>
          <w:rFonts w:eastAsia="SimSun"/>
          <w:lang w:val="x-none"/>
        </w:rPr>
        <w:t>.</w:t>
      </w:r>
      <w:r w:rsidRPr="00BE2AF8">
        <w:t xml:space="preserve"> </w:t>
      </w:r>
      <w:r w:rsidRPr="00BE2AF8">
        <w:rPr>
          <w:rFonts w:eastAsia="SimSun"/>
          <w:lang w:val="x-none"/>
        </w:rPr>
        <w:t xml:space="preserve">Расходы бюджета на </w:t>
      </w:r>
      <w:r w:rsidR="000E76FA">
        <w:rPr>
          <w:rFonts w:eastAsia="SimSun"/>
          <w:lang w:val="x-none"/>
        </w:rPr>
        <w:t>2024</w:t>
      </w:r>
      <w:r w:rsidRPr="00BE2AF8">
        <w:rPr>
          <w:rFonts w:eastAsia="SimSun"/>
          <w:lang w:val="x-none"/>
        </w:rPr>
        <w:t>-</w:t>
      </w:r>
      <w:r w:rsidR="000E76FA">
        <w:rPr>
          <w:rFonts w:eastAsia="SimSun"/>
          <w:lang w:val="x-none"/>
        </w:rPr>
        <w:t>2025</w:t>
      </w:r>
      <w:r w:rsidRPr="00BE2AF8">
        <w:rPr>
          <w:rFonts w:eastAsia="SimSun"/>
          <w:lang w:val="x-none"/>
        </w:rPr>
        <w:t>гг. представлены без условно утверждаемых расходов.</w:t>
      </w:r>
    </w:p>
    <w:p w14:paraId="5EBF776C" w14:textId="6A408D8F" w:rsidR="00D80372" w:rsidRPr="00A351A3" w:rsidRDefault="00D80372" w:rsidP="00D80372">
      <w:pPr>
        <w:jc w:val="right"/>
        <w:rPr>
          <w:rFonts w:eastAsia="SimSun"/>
        </w:rPr>
      </w:pPr>
      <w:r w:rsidRPr="00BE55E7">
        <w:t>Таблица</w:t>
      </w:r>
      <w:r w:rsidRPr="00A351A3">
        <w:t xml:space="preserve"> № </w:t>
      </w:r>
      <w:r w:rsidR="00FD759D">
        <w:t>4</w:t>
      </w:r>
      <w:r w:rsidRPr="00A351A3">
        <w:t xml:space="preserve"> (тыс. руб.)</w:t>
      </w:r>
      <w:r w:rsidRPr="00A351A3">
        <w:rPr>
          <w:rFonts w:eastAsia="SimSun"/>
        </w:rPr>
        <w:t xml:space="preserve">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"/>
        <w:gridCol w:w="993"/>
        <w:gridCol w:w="992"/>
        <w:gridCol w:w="709"/>
        <w:gridCol w:w="992"/>
        <w:gridCol w:w="709"/>
        <w:gridCol w:w="992"/>
        <w:gridCol w:w="850"/>
      </w:tblGrid>
      <w:tr w:rsidR="00D80372" w:rsidRPr="00F724C0" w14:paraId="25DA252C" w14:textId="77777777" w:rsidTr="000C5254">
        <w:tc>
          <w:tcPr>
            <w:tcW w:w="2694" w:type="dxa"/>
          </w:tcPr>
          <w:p w14:paraId="72556184" w14:textId="77777777"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14:paraId="508B0BC0" w14:textId="77777777" w:rsidR="00D80372" w:rsidRPr="00F724C0" w:rsidRDefault="00D80372" w:rsidP="000C5254">
            <w:pPr>
              <w:autoSpaceDE w:val="0"/>
              <w:autoSpaceDN w:val="0"/>
              <w:adjustRightInd w:val="0"/>
              <w:ind w:left="-2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93" w:type="dxa"/>
          </w:tcPr>
          <w:p w14:paraId="014E95E7" w14:textId="3FCB1237" w:rsidR="00D80372" w:rsidRPr="00BE0D5B" w:rsidRDefault="00D80372" w:rsidP="000C525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 w:rsidRPr="00BE0D5B">
              <w:rPr>
                <w:rFonts w:cs="Arial CYR"/>
                <w:sz w:val="20"/>
                <w:szCs w:val="20"/>
              </w:rPr>
              <w:t xml:space="preserve">Ожидаемое </w:t>
            </w:r>
            <w:r w:rsidR="00A17204">
              <w:rPr>
                <w:rFonts w:cs="Arial CYR"/>
                <w:sz w:val="20"/>
                <w:szCs w:val="20"/>
              </w:rPr>
              <w:t>202</w:t>
            </w:r>
            <w:r w:rsidR="00FD759D">
              <w:rPr>
                <w:rFonts w:cs="Arial CYR"/>
                <w:sz w:val="20"/>
                <w:szCs w:val="20"/>
              </w:rPr>
              <w:t>2</w:t>
            </w:r>
            <w:r w:rsidRPr="00BE0D5B">
              <w:rPr>
                <w:rFonts w:cs="Arial CYR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14:paraId="3ED96788" w14:textId="311099FA" w:rsidR="00D80372" w:rsidRPr="00BE0D5B" w:rsidRDefault="00D80372" w:rsidP="000C525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 w:rsidRPr="00BE0D5B">
              <w:rPr>
                <w:rFonts w:cs="Arial CYR"/>
                <w:sz w:val="20"/>
                <w:szCs w:val="20"/>
              </w:rPr>
              <w:t xml:space="preserve">Прогноз </w:t>
            </w:r>
            <w:r w:rsidR="000E76FA">
              <w:rPr>
                <w:rFonts w:cs="Arial CYR"/>
                <w:sz w:val="20"/>
                <w:szCs w:val="20"/>
              </w:rPr>
              <w:t>2023</w:t>
            </w:r>
            <w:r w:rsidR="00FD759D">
              <w:rPr>
                <w:rFonts w:cs="Arial CYR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14:paraId="3565911E" w14:textId="0445839A" w:rsidR="00D80372" w:rsidRPr="00BE0D5B" w:rsidRDefault="000E76FA" w:rsidP="00A1720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2023</w:t>
            </w:r>
            <w:r w:rsidR="00D80372" w:rsidRPr="00BE0D5B">
              <w:rPr>
                <w:rFonts w:cs="Arial CYR"/>
                <w:sz w:val="20"/>
                <w:szCs w:val="20"/>
              </w:rPr>
              <w:t xml:space="preserve">г к </w:t>
            </w:r>
            <w:r w:rsidR="00D80372">
              <w:rPr>
                <w:rFonts w:cs="Arial CYR"/>
                <w:sz w:val="20"/>
                <w:szCs w:val="20"/>
              </w:rPr>
              <w:t>202</w:t>
            </w:r>
            <w:r w:rsidR="00FD759D">
              <w:rPr>
                <w:rFonts w:cs="Arial CYR"/>
                <w:sz w:val="20"/>
                <w:szCs w:val="20"/>
              </w:rPr>
              <w:t>2</w:t>
            </w:r>
            <w:r w:rsidR="00D80372" w:rsidRPr="00BE0D5B">
              <w:rPr>
                <w:rFonts w:cs="Arial CYR"/>
                <w:sz w:val="20"/>
                <w:szCs w:val="20"/>
              </w:rPr>
              <w:t>г %</w:t>
            </w:r>
          </w:p>
        </w:tc>
        <w:tc>
          <w:tcPr>
            <w:tcW w:w="992" w:type="dxa"/>
          </w:tcPr>
          <w:p w14:paraId="147D007F" w14:textId="61E2D52A" w:rsidR="00D80372" w:rsidRPr="00BE0D5B" w:rsidRDefault="00D80372" w:rsidP="00A1720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 w:rsidRPr="00BE0D5B">
              <w:rPr>
                <w:rFonts w:cs="Arial CYR"/>
                <w:sz w:val="20"/>
                <w:szCs w:val="20"/>
              </w:rPr>
              <w:t xml:space="preserve">Прогноз </w:t>
            </w:r>
            <w:r w:rsidR="000E76FA">
              <w:rPr>
                <w:rFonts w:cs="Arial CYR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14:paraId="1A88BE63" w14:textId="4261B405" w:rsidR="00D80372" w:rsidRPr="00BE0D5B" w:rsidRDefault="000E76FA" w:rsidP="00A1720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2024</w:t>
            </w:r>
            <w:r w:rsidR="00D80372" w:rsidRPr="00BE0D5B">
              <w:rPr>
                <w:rFonts w:cs="Arial CYR"/>
                <w:sz w:val="20"/>
                <w:szCs w:val="20"/>
              </w:rPr>
              <w:t xml:space="preserve">г к </w:t>
            </w:r>
            <w:r>
              <w:rPr>
                <w:rFonts w:cs="Arial CYR"/>
                <w:sz w:val="20"/>
                <w:szCs w:val="20"/>
              </w:rPr>
              <w:t>2023</w:t>
            </w:r>
            <w:r w:rsidR="00D80372" w:rsidRPr="00BE0D5B">
              <w:rPr>
                <w:rFonts w:cs="Arial CYR"/>
                <w:sz w:val="20"/>
                <w:szCs w:val="20"/>
              </w:rPr>
              <w:t>г %</w:t>
            </w:r>
          </w:p>
        </w:tc>
        <w:tc>
          <w:tcPr>
            <w:tcW w:w="992" w:type="dxa"/>
          </w:tcPr>
          <w:p w14:paraId="0AFCA2ED" w14:textId="65DB4135" w:rsidR="00D80372" w:rsidRPr="00BE0D5B" w:rsidRDefault="00D80372" w:rsidP="000C525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 w:rsidRPr="00BE0D5B">
              <w:rPr>
                <w:rFonts w:cs="Arial CYR"/>
                <w:sz w:val="20"/>
                <w:szCs w:val="20"/>
              </w:rPr>
              <w:t xml:space="preserve">Прогноз </w:t>
            </w:r>
            <w:r w:rsidR="000E76FA">
              <w:rPr>
                <w:rFonts w:cs="Arial CYR"/>
                <w:sz w:val="20"/>
                <w:szCs w:val="20"/>
              </w:rPr>
              <w:t>2025</w:t>
            </w:r>
            <w:r w:rsidR="00FD759D">
              <w:rPr>
                <w:rFonts w:cs="Arial CYR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14:paraId="1903121A" w14:textId="6648912A" w:rsidR="00D80372" w:rsidRPr="00BE0D5B" w:rsidRDefault="000E76FA" w:rsidP="00A17204">
            <w:pPr>
              <w:autoSpaceDE w:val="0"/>
              <w:autoSpaceDN w:val="0"/>
              <w:adjustRightInd w:val="0"/>
              <w:ind w:left="-60" w:right="-108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2025</w:t>
            </w:r>
            <w:r w:rsidR="00FC3E4F">
              <w:rPr>
                <w:rFonts w:cs="Arial CYR"/>
                <w:sz w:val="20"/>
                <w:szCs w:val="20"/>
              </w:rPr>
              <w:t xml:space="preserve">г. к </w:t>
            </w:r>
            <w:r>
              <w:rPr>
                <w:rFonts w:cs="Arial CYR"/>
                <w:sz w:val="20"/>
                <w:szCs w:val="20"/>
              </w:rPr>
              <w:t>2024</w:t>
            </w:r>
            <w:r w:rsidR="00D80372" w:rsidRPr="00BE0D5B">
              <w:rPr>
                <w:rFonts w:cs="Arial CYR"/>
                <w:sz w:val="20"/>
                <w:szCs w:val="20"/>
              </w:rPr>
              <w:t>г.</w:t>
            </w:r>
            <w:r w:rsidR="00D80372">
              <w:rPr>
                <w:rFonts w:cs="Arial CYR"/>
                <w:sz w:val="20"/>
                <w:szCs w:val="20"/>
              </w:rPr>
              <w:t xml:space="preserve"> </w:t>
            </w:r>
            <w:r w:rsidR="00D80372" w:rsidRPr="00BE0D5B">
              <w:rPr>
                <w:rFonts w:cs="Arial CYR"/>
                <w:sz w:val="20"/>
                <w:szCs w:val="20"/>
              </w:rPr>
              <w:t>%</w:t>
            </w:r>
          </w:p>
        </w:tc>
      </w:tr>
      <w:tr w:rsidR="00D80372" w:rsidRPr="005639BE" w14:paraId="7A660FD0" w14:textId="77777777" w:rsidTr="000C5254">
        <w:tc>
          <w:tcPr>
            <w:tcW w:w="2694" w:type="dxa"/>
          </w:tcPr>
          <w:p w14:paraId="3CD0C587" w14:textId="77777777" w:rsidR="00D80372" w:rsidRPr="00F724C0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F724C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14:paraId="30369CE4" w14:textId="77777777"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4C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3" w:type="dxa"/>
          </w:tcPr>
          <w:p w14:paraId="3A2DB04B" w14:textId="30E297D1" w:rsidR="00D80372" w:rsidRPr="002F6823" w:rsidRDefault="00A13A9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6405,2</w:t>
            </w:r>
          </w:p>
        </w:tc>
        <w:tc>
          <w:tcPr>
            <w:tcW w:w="992" w:type="dxa"/>
          </w:tcPr>
          <w:p w14:paraId="05D10272" w14:textId="282BCABD" w:rsidR="00D80372" w:rsidRPr="00F724C0" w:rsidRDefault="00A13A95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5410,6</w:t>
            </w:r>
          </w:p>
        </w:tc>
        <w:tc>
          <w:tcPr>
            <w:tcW w:w="709" w:type="dxa"/>
          </w:tcPr>
          <w:p w14:paraId="3E5770AF" w14:textId="200B75A4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84,5</w:t>
            </w:r>
          </w:p>
        </w:tc>
        <w:tc>
          <w:tcPr>
            <w:tcW w:w="992" w:type="dxa"/>
          </w:tcPr>
          <w:p w14:paraId="3B8AB5ED" w14:textId="58808BC5" w:rsidR="00D80372" w:rsidRPr="00C91068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4368,1</w:t>
            </w:r>
          </w:p>
        </w:tc>
        <w:tc>
          <w:tcPr>
            <w:tcW w:w="709" w:type="dxa"/>
          </w:tcPr>
          <w:p w14:paraId="53722275" w14:textId="5648C7F9" w:rsidR="00D80372" w:rsidRPr="00B20ABB" w:rsidRDefault="00FD1AFC" w:rsidP="000C52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80,7</w:t>
            </w:r>
          </w:p>
        </w:tc>
        <w:tc>
          <w:tcPr>
            <w:tcW w:w="992" w:type="dxa"/>
          </w:tcPr>
          <w:p w14:paraId="5CA0C8C8" w14:textId="109EDA45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4189,4</w:t>
            </w:r>
          </w:p>
        </w:tc>
        <w:tc>
          <w:tcPr>
            <w:tcW w:w="850" w:type="dxa"/>
          </w:tcPr>
          <w:p w14:paraId="1F43782D" w14:textId="3A30BDB0" w:rsidR="00D80372" w:rsidRPr="00A43466" w:rsidRDefault="00FD1AF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95,9</w:t>
            </w:r>
          </w:p>
        </w:tc>
      </w:tr>
      <w:tr w:rsidR="00D80372" w:rsidRPr="005639BE" w14:paraId="55E551E4" w14:textId="77777777" w:rsidTr="000C5254">
        <w:tc>
          <w:tcPr>
            <w:tcW w:w="2694" w:type="dxa"/>
          </w:tcPr>
          <w:p w14:paraId="3879AAFB" w14:textId="77777777" w:rsidR="00D80372" w:rsidRPr="00F724C0" w:rsidRDefault="00D80372" w:rsidP="000C525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708" w:type="dxa"/>
          </w:tcPr>
          <w:p w14:paraId="2EA121F2" w14:textId="77777777"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0102</w:t>
            </w:r>
          </w:p>
        </w:tc>
        <w:tc>
          <w:tcPr>
            <w:tcW w:w="993" w:type="dxa"/>
          </w:tcPr>
          <w:p w14:paraId="76A014AE" w14:textId="3C7AFAB2" w:rsidR="00D80372" w:rsidRPr="002F6823" w:rsidRDefault="00A13A9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1523,2</w:t>
            </w:r>
          </w:p>
        </w:tc>
        <w:tc>
          <w:tcPr>
            <w:tcW w:w="992" w:type="dxa"/>
          </w:tcPr>
          <w:p w14:paraId="76465A42" w14:textId="0A043723" w:rsidR="00D80372" w:rsidRPr="00F724C0" w:rsidRDefault="00A13A95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1128,1</w:t>
            </w:r>
          </w:p>
        </w:tc>
        <w:tc>
          <w:tcPr>
            <w:tcW w:w="709" w:type="dxa"/>
          </w:tcPr>
          <w:p w14:paraId="04018A58" w14:textId="04401DB8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</w:tcPr>
          <w:p w14:paraId="4A2508E4" w14:textId="05A7CF6C" w:rsidR="00D80372" w:rsidRPr="00F724C0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1128,1</w:t>
            </w:r>
          </w:p>
        </w:tc>
        <w:tc>
          <w:tcPr>
            <w:tcW w:w="709" w:type="dxa"/>
          </w:tcPr>
          <w:p w14:paraId="09D2F224" w14:textId="1EBDE21D" w:rsidR="00D80372" w:rsidRPr="00B20ABB" w:rsidRDefault="00FD1AF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CA00459" w14:textId="2CDBC1A1" w:rsidR="00D80372" w:rsidRPr="00F724C0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1128,1</w:t>
            </w:r>
          </w:p>
        </w:tc>
        <w:tc>
          <w:tcPr>
            <w:tcW w:w="850" w:type="dxa"/>
          </w:tcPr>
          <w:p w14:paraId="21D3D028" w14:textId="331003F5" w:rsidR="00D80372" w:rsidRPr="00A43466" w:rsidRDefault="00FD1AF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639BE" w14:paraId="584AA7B2" w14:textId="77777777" w:rsidTr="000C5254">
        <w:tc>
          <w:tcPr>
            <w:tcW w:w="2694" w:type="dxa"/>
          </w:tcPr>
          <w:p w14:paraId="59837CFB" w14:textId="77777777" w:rsidR="00D80372" w:rsidRPr="00F724C0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708" w:type="dxa"/>
          </w:tcPr>
          <w:p w14:paraId="245E8B44" w14:textId="77777777"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0104</w:t>
            </w:r>
          </w:p>
        </w:tc>
        <w:tc>
          <w:tcPr>
            <w:tcW w:w="993" w:type="dxa"/>
          </w:tcPr>
          <w:p w14:paraId="5A1180A0" w14:textId="231042F6" w:rsidR="00D80372" w:rsidRPr="002F6823" w:rsidRDefault="00A13A9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4478,6</w:t>
            </w:r>
          </w:p>
        </w:tc>
        <w:tc>
          <w:tcPr>
            <w:tcW w:w="992" w:type="dxa"/>
          </w:tcPr>
          <w:p w14:paraId="6C805A8E" w14:textId="5DAA6A6B" w:rsidR="00D80372" w:rsidRPr="00F724C0" w:rsidRDefault="00A13A95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4271,8</w:t>
            </w:r>
          </w:p>
        </w:tc>
        <w:tc>
          <w:tcPr>
            <w:tcW w:w="709" w:type="dxa"/>
          </w:tcPr>
          <w:p w14:paraId="131EF106" w14:textId="049EB07B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</w:tcPr>
          <w:p w14:paraId="25113B56" w14:textId="6D64ED6C" w:rsidR="00D80372" w:rsidRPr="00F724C0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3229,3</w:t>
            </w:r>
          </w:p>
        </w:tc>
        <w:tc>
          <w:tcPr>
            <w:tcW w:w="709" w:type="dxa"/>
          </w:tcPr>
          <w:p w14:paraId="211E2903" w14:textId="5A7A271D" w:rsidR="00D80372" w:rsidRPr="00B20ABB" w:rsidRDefault="00FD1AF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992" w:type="dxa"/>
          </w:tcPr>
          <w:p w14:paraId="1D18189B" w14:textId="7050FF4E" w:rsidR="00D80372" w:rsidRPr="00F724C0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3050,6</w:t>
            </w:r>
          </w:p>
        </w:tc>
        <w:tc>
          <w:tcPr>
            <w:tcW w:w="850" w:type="dxa"/>
          </w:tcPr>
          <w:p w14:paraId="4074B4D8" w14:textId="2AA5D4AA" w:rsidR="00D80372" w:rsidRPr="00A43466" w:rsidRDefault="00FD1AF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820A6D" w:rsidRPr="005639BE" w14:paraId="74041D0A" w14:textId="77777777" w:rsidTr="000C5254">
        <w:tc>
          <w:tcPr>
            <w:tcW w:w="2694" w:type="dxa"/>
          </w:tcPr>
          <w:p w14:paraId="431040B7" w14:textId="725A837B" w:rsidR="00820A6D" w:rsidRPr="00F724C0" w:rsidRDefault="00820A6D" w:rsidP="00820A6D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</w:t>
            </w:r>
            <w:r w:rsidR="002A7964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выборов и референдумов</w:t>
            </w:r>
          </w:p>
        </w:tc>
        <w:tc>
          <w:tcPr>
            <w:tcW w:w="708" w:type="dxa"/>
          </w:tcPr>
          <w:p w14:paraId="618F7948" w14:textId="77777777" w:rsidR="00820A6D" w:rsidRPr="00F724C0" w:rsidRDefault="00820A6D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993" w:type="dxa"/>
          </w:tcPr>
          <w:p w14:paraId="582C9FF6" w14:textId="27B41BA2" w:rsidR="00820A6D" w:rsidRDefault="00A13A9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392,7</w:t>
            </w:r>
          </w:p>
        </w:tc>
        <w:tc>
          <w:tcPr>
            <w:tcW w:w="992" w:type="dxa"/>
          </w:tcPr>
          <w:p w14:paraId="43019448" w14:textId="6DC179B0" w:rsidR="00820A6D" w:rsidRDefault="00A13A95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EA267EC" w14:textId="56E52078" w:rsidR="00820A6D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7799371" w14:textId="010AA977" w:rsidR="00820A6D" w:rsidRPr="00F724C0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E1A0D32" w14:textId="0D2C8C2F" w:rsidR="00820A6D" w:rsidRPr="00B20ABB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8792B61" w14:textId="6E5F406E" w:rsidR="00820A6D" w:rsidRPr="00F724C0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B81F796" w14:textId="5737A7C8" w:rsidR="00820A6D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372" w:rsidRPr="005639BE" w14:paraId="101C6293" w14:textId="77777777" w:rsidTr="000C5254">
        <w:tc>
          <w:tcPr>
            <w:tcW w:w="2694" w:type="dxa"/>
          </w:tcPr>
          <w:p w14:paraId="5CDB0A08" w14:textId="77777777" w:rsidR="00D80372" w:rsidRPr="00F724C0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8" w:type="dxa"/>
          </w:tcPr>
          <w:p w14:paraId="5A1CC96B" w14:textId="77777777"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0111</w:t>
            </w:r>
          </w:p>
        </w:tc>
        <w:tc>
          <w:tcPr>
            <w:tcW w:w="993" w:type="dxa"/>
          </w:tcPr>
          <w:p w14:paraId="1D67F905" w14:textId="41328833" w:rsidR="00D80372" w:rsidRPr="002F6823" w:rsidRDefault="00A13A9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38C904EA" w14:textId="18D4CF4F" w:rsidR="00D80372" w:rsidRPr="00F724C0" w:rsidRDefault="00A13A95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2CE6585" w14:textId="58917521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31950FF" w14:textId="44314ED3" w:rsidR="00D80372" w:rsidRPr="00F724C0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D450A85" w14:textId="5D3A8612" w:rsidR="00D80372" w:rsidRPr="00B20ABB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CB17FE2" w14:textId="100B8E9A" w:rsidR="00D80372" w:rsidRPr="00F724C0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7083ECB2" w14:textId="1B54674C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639BE" w14:paraId="2CA79FDA" w14:textId="77777777" w:rsidTr="000C5254">
        <w:tc>
          <w:tcPr>
            <w:tcW w:w="2694" w:type="dxa"/>
          </w:tcPr>
          <w:p w14:paraId="2BFE6943" w14:textId="77777777" w:rsidR="00D80372" w:rsidRPr="00F724C0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 общегосударст.</w:t>
            </w:r>
            <w:r w:rsidRPr="00F724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</w:tcPr>
          <w:p w14:paraId="5A18EA3B" w14:textId="77777777"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</w:tcPr>
          <w:p w14:paraId="08DED0CC" w14:textId="45FE13CF" w:rsidR="00D80372" w:rsidRPr="002F6823" w:rsidRDefault="00A13A9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14:paraId="66FCE325" w14:textId="5F81A7B4" w:rsidR="00D80372" w:rsidRPr="00F724C0" w:rsidRDefault="00A13A95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14:paraId="0EA2F5C2" w14:textId="36BB7BC0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CBADBDC" w14:textId="0AF247E5" w:rsidR="00D80372" w:rsidRPr="00F724C0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14:paraId="47914C3B" w14:textId="7E9BF62F" w:rsidR="00D80372" w:rsidRPr="00B20ABB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C264DF3" w14:textId="4AD12CAF" w:rsidR="00D80372" w:rsidRPr="00F724C0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14:paraId="548926F0" w14:textId="50C7194C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639BE" w14:paraId="65B3FCC6" w14:textId="77777777" w:rsidTr="000C5254">
        <w:tc>
          <w:tcPr>
            <w:tcW w:w="2694" w:type="dxa"/>
          </w:tcPr>
          <w:p w14:paraId="35AC3FCB" w14:textId="77777777" w:rsidR="00D80372" w:rsidRPr="0012347A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12347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</w:tcPr>
          <w:p w14:paraId="2C18212B" w14:textId="77777777" w:rsidR="00D80372" w:rsidRPr="0012347A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347A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3" w:type="dxa"/>
          </w:tcPr>
          <w:p w14:paraId="34BD40F8" w14:textId="7519CA06" w:rsidR="00D80372" w:rsidRPr="0012347A" w:rsidRDefault="00A13A95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151,6</w:t>
            </w:r>
          </w:p>
        </w:tc>
        <w:tc>
          <w:tcPr>
            <w:tcW w:w="992" w:type="dxa"/>
          </w:tcPr>
          <w:p w14:paraId="5B723578" w14:textId="6A8180CC" w:rsidR="00D80372" w:rsidRPr="0012347A" w:rsidRDefault="00A13A95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173,7</w:t>
            </w:r>
          </w:p>
        </w:tc>
        <w:tc>
          <w:tcPr>
            <w:tcW w:w="709" w:type="dxa"/>
          </w:tcPr>
          <w:p w14:paraId="477A3275" w14:textId="7D9E59DF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114,6</w:t>
            </w:r>
          </w:p>
        </w:tc>
        <w:tc>
          <w:tcPr>
            <w:tcW w:w="992" w:type="dxa"/>
          </w:tcPr>
          <w:p w14:paraId="35EE81A1" w14:textId="6732C772" w:rsidR="00D80372" w:rsidRPr="00C91068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709" w:type="dxa"/>
          </w:tcPr>
          <w:p w14:paraId="19EFD023" w14:textId="357547F9" w:rsidR="00D80372" w:rsidRPr="00B20ABB" w:rsidRDefault="00FD1AF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14:paraId="20108F9B" w14:textId="19A72557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188,8</w:t>
            </w:r>
          </w:p>
        </w:tc>
        <w:tc>
          <w:tcPr>
            <w:tcW w:w="850" w:type="dxa"/>
          </w:tcPr>
          <w:p w14:paraId="3661EC53" w14:textId="44C82C58" w:rsidR="00D80372" w:rsidRPr="00A43466" w:rsidRDefault="00FD1AF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103,7</w:t>
            </w:r>
          </w:p>
        </w:tc>
      </w:tr>
      <w:tr w:rsidR="00D80372" w:rsidRPr="005639BE" w14:paraId="2F0436E7" w14:textId="77777777" w:rsidTr="000C5254">
        <w:tc>
          <w:tcPr>
            <w:tcW w:w="2694" w:type="dxa"/>
          </w:tcPr>
          <w:p w14:paraId="44F522DA" w14:textId="77777777" w:rsidR="00D80372" w:rsidRPr="008630BD" w:rsidRDefault="00D80372" w:rsidP="000C5254">
            <w:pPr>
              <w:autoSpaceDE w:val="0"/>
              <w:autoSpaceDN w:val="0"/>
              <w:adjustRightInd w:val="0"/>
              <w:ind w:right="-154"/>
              <w:rPr>
                <w:b/>
                <w:sz w:val="20"/>
                <w:szCs w:val="20"/>
              </w:rPr>
            </w:pPr>
            <w:r w:rsidRPr="008630B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14:paraId="0B46E6C1" w14:textId="77777777" w:rsidR="00D80372" w:rsidRPr="008630BD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30B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3" w:type="dxa"/>
          </w:tcPr>
          <w:p w14:paraId="3A0F409F" w14:textId="315D0163" w:rsidR="00D80372" w:rsidRPr="008630BD" w:rsidRDefault="00A13A95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762EEAAD" w14:textId="2C0B8124" w:rsidR="00D80372" w:rsidRPr="008630BD" w:rsidRDefault="00A13A95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00EDE3AA" w14:textId="4E727496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14:paraId="4143AB21" w14:textId="6A8ED29A" w:rsidR="00D80372" w:rsidRPr="00C91068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5C08D792" w14:textId="10C8E505" w:rsidR="00D80372" w:rsidRPr="00B20ABB" w:rsidRDefault="00FD1AF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14:paraId="5A42E563" w14:textId="17D4B1B3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5366EFA4" w14:textId="2BAED1F7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80372" w:rsidRPr="005639BE" w14:paraId="78961FF1" w14:textId="77777777" w:rsidTr="000C5254">
        <w:tc>
          <w:tcPr>
            <w:tcW w:w="2694" w:type="dxa"/>
          </w:tcPr>
          <w:p w14:paraId="4FBB0AF7" w14:textId="77777777" w:rsidR="00D80372" w:rsidRPr="008630BD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8630BD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</w:tcPr>
          <w:p w14:paraId="55A097C5" w14:textId="77777777" w:rsidR="00D80372" w:rsidRPr="008630BD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30BD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3" w:type="dxa"/>
          </w:tcPr>
          <w:p w14:paraId="0CEB4BF1" w14:textId="0BF6D2AA" w:rsidR="00D80372" w:rsidRPr="002F6823" w:rsidRDefault="00A13A9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1792,4</w:t>
            </w:r>
          </w:p>
        </w:tc>
        <w:tc>
          <w:tcPr>
            <w:tcW w:w="992" w:type="dxa"/>
          </w:tcPr>
          <w:p w14:paraId="39CD1B31" w14:textId="0BAD49C1" w:rsidR="00D80372" w:rsidRPr="008630BD" w:rsidRDefault="00A13A95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1237,6</w:t>
            </w:r>
          </w:p>
        </w:tc>
        <w:tc>
          <w:tcPr>
            <w:tcW w:w="709" w:type="dxa"/>
          </w:tcPr>
          <w:p w14:paraId="0C98FAF3" w14:textId="5AC830F4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14:paraId="63DFEF14" w14:textId="5C7179EB" w:rsidR="00D80372" w:rsidRPr="00C91068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1370,8</w:t>
            </w:r>
          </w:p>
        </w:tc>
        <w:tc>
          <w:tcPr>
            <w:tcW w:w="709" w:type="dxa"/>
          </w:tcPr>
          <w:p w14:paraId="20E3B1F4" w14:textId="188FAD22" w:rsidR="00D80372" w:rsidRPr="00B20ABB" w:rsidRDefault="00FD1AF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110,8</w:t>
            </w:r>
          </w:p>
        </w:tc>
        <w:tc>
          <w:tcPr>
            <w:tcW w:w="992" w:type="dxa"/>
          </w:tcPr>
          <w:p w14:paraId="5A2E8F64" w14:textId="32FF515F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1444,8</w:t>
            </w:r>
          </w:p>
        </w:tc>
        <w:tc>
          <w:tcPr>
            <w:tcW w:w="850" w:type="dxa"/>
          </w:tcPr>
          <w:p w14:paraId="473FE08B" w14:textId="41FD52C1" w:rsidR="00D80372" w:rsidRPr="00A43466" w:rsidRDefault="00FD1AF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105,4</w:t>
            </w:r>
          </w:p>
        </w:tc>
      </w:tr>
      <w:tr w:rsidR="00D80372" w:rsidRPr="005639BE" w14:paraId="609C1716" w14:textId="77777777" w:rsidTr="000C5254">
        <w:tc>
          <w:tcPr>
            <w:tcW w:w="2694" w:type="dxa"/>
          </w:tcPr>
          <w:p w14:paraId="32544C86" w14:textId="77777777" w:rsidR="00D80372" w:rsidRPr="008630BD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</w:tcPr>
          <w:p w14:paraId="670880C7" w14:textId="77777777" w:rsidR="00D80372" w:rsidRPr="008630BD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993" w:type="dxa"/>
          </w:tcPr>
          <w:p w14:paraId="4C4132CD" w14:textId="6931DC6B" w:rsidR="00D80372" w:rsidRPr="002F6823" w:rsidRDefault="00A13A9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</w:tcPr>
          <w:p w14:paraId="7C46BA83" w14:textId="57B331D9" w:rsidR="00D80372" w:rsidRPr="008630BD" w:rsidRDefault="00A13A95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09" w:type="dxa"/>
          </w:tcPr>
          <w:p w14:paraId="406E1DD7" w14:textId="7BE86D11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992" w:type="dxa"/>
          </w:tcPr>
          <w:p w14:paraId="5B7B8A75" w14:textId="13973B38" w:rsidR="00D80372" w:rsidRPr="00C91068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09" w:type="dxa"/>
          </w:tcPr>
          <w:p w14:paraId="2D7BA40A" w14:textId="4223CB50" w:rsidR="00D80372" w:rsidRPr="00B20ABB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B50DEEF" w14:textId="5B21EF74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0" w:type="dxa"/>
          </w:tcPr>
          <w:p w14:paraId="688565B7" w14:textId="733A350E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639BE" w14:paraId="795BAACF" w14:textId="77777777" w:rsidTr="000C5254">
        <w:tc>
          <w:tcPr>
            <w:tcW w:w="2694" w:type="dxa"/>
          </w:tcPr>
          <w:p w14:paraId="5F2E9FA0" w14:textId="77777777" w:rsidR="00D80372" w:rsidRPr="008630BD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8630B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</w:tcPr>
          <w:p w14:paraId="1AAEA7E7" w14:textId="77777777" w:rsidR="00D80372" w:rsidRPr="008630BD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0BD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</w:tcPr>
          <w:p w14:paraId="396BF62D" w14:textId="6114729A" w:rsidR="00D80372" w:rsidRPr="002F6823" w:rsidRDefault="00A13A9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1742,5</w:t>
            </w:r>
          </w:p>
        </w:tc>
        <w:tc>
          <w:tcPr>
            <w:tcW w:w="992" w:type="dxa"/>
          </w:tcPr>
          <w:p w14:paraId="7DCFEB18" w14:textId="617F6759" w:rsidR="00D80372" w:rsidRPr="008630BD" w:rsidRDefault="000057FA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1188,5</w:t>
            </w:r>
          </w:p>
        </w:tc>
        <w:tc>
          <w:tcPr>
            <w:tcW w:w="709" w:type="dxa"/>
          </w:tcPr>
          <w:p w14:paraId="2C7AF440" w14:textId="4A47F1B9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992" w:type="dxa"/>
          </w:tcPr>
          <w:p w14:paraId="03F910E6" w14:textId="56AAE9DA" w:rsidR="00D80372" w:rsidRPr="00C91068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1321,7</w:t>
            </w:r>
          </w:p>
        </w:tc>
        <w:tc>
          <w:tcPr>
            <w:tcW w:w="709" w:type="dxa"/>
          </w:tcPr>
          <w:p w14:paraId="0509EC46" w14:textId="3938B31E" w:rsidR="00D80372" w:rsidRPr="00B20ABB" w:rsidRDefault="00FD1AF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992" w:type="dxa"/>
          </w:tcPr>
          <w:p w14:paraId="68B9ED0E" w14:textId="03A9947F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1395,7</w:t>
            </w:r>
          </w:p>
        </w:tc>
        <w:tc>
          <w:tcPr>
            <w:tcW w:w="850" w:type="dxa"/>
          </w:tcPr>
          <w:p w14:paraId="3FC811B2" w14:textId="12ADDB6D" w:rsidR="00D80372" w:rsidRPr="00A43466" w:rsidRDefault="00FD1AF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</w:tr>
      <w:tr w:rsidR="00D80372" w:rsidRPr="005639BE" w14:paraId="2B42F4FF" w14:textId="77777777" w:rsidTr="000C5254">
        <w:tc>
          <w:tcPr>
            <w:tcW w:w="2694" w:type="dxa"/>
          </w:tcPr>
          <w:p w14:paraId="05DA0826" w14:textId="77777777" w:rsidR="00D80372" w:rsidRPr="000F6998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0F699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</w:tcPr>
          <w:p w14:paraId="18773D40" w14:textId="77777777" w:rsidR="00D80372" w:rsidRPr="000F6998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699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3" w:type="dxa"/>
          </w:tcPr>
          <w:p w14:paraId="31757081" w14:textId="769C98A4" w:rsidR="00D80372" w:rsidRPr="002F6823" w:rsidRDefault="00A13A9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1861,4</w:t>
            </w:r>
          </w:p>
        </w:tc>
        <w:tc>
          <w:tcPr>
            <w:tcW w:w="992" w:type="dxa"/>
          </w:tcPr>
          <w:p w14:paraId="0169DDCF" w14:textId="03FACAD7" w:rsidR="00D80372" w:rsidRPr="000F6998" w:rsidRDefault="000057FA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637,6</w:t>
            </w:r>
          </w:p>
        </w:tc>
        <w:tc>
          <w:tcPr>
            <w:tcW w:w="709" w:type="dxa"/>
          </w:tcPr>
          <w:p w14:paraId="556EF29D" w14:textId="4D06B7CC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14:paraId="1C5E5585" w14:textId="14A11335" w:rsidR="00D80372" w:rsidRPr="00C91068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</w:t>
            </w:r>
          </w:p>
        </w:tc>
        <w:tc>
          <w:tcPr>
            <w:tcW w:w="709" w:type="dxa"/>
          </w:tcPr>
          <w:p w14:paraId="6A037E25" w14:textId="031DAF73" w:rsidR="00D80372" w:rsidRPr="00B20ABB" w:rsidRDefault="00FD1AF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992" w:type="dxa"/>
          </w:tcPr>
          <w:p w14:paraId="230B3F70" w14:textId="69D65841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1768,8</w:t>
            </w:r>
          </w:p>
        </w:tc>
        <w:tc>
          <w:tcPr>
            <w:tcW w:w="850" w:type="dxa"/>
          </w:tcPr>
          <w:p w14:paraId="018D780B" w14:textId="1C61C02B" w:rsidR="00D80372" w:rsidRPr="00A43466" w:rsidRDefault="00FD1AFC" w:rsidP="00FD1AFC">
            <w:pPr>
              <w:autoSpaceDE w:val="0"/>
              <w:autoSpaceDN w:val="0"/>
              <w:adjustRightInd w:val="0"/>
              <w:ind w:left="-75" w:right="-1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2,6 раза</w:t>
            </w:r>
          </w:p>
        </w:tc>
      </w:tr>
      <w:tr w:rsidR="00D80372" w:rsidRPr="005639BE" w14:paraId="712AAA4E" w14:textId="77777777" w:rsidTr="000C5254">
        <w:tc>
          <w:tcPr>
            <w:tcW w:w="2694" w:type="dxa"/>
          </w:tcPr>
          <w:p w14:paraId="42BD9A8D" w14:textId="77777777" w:rsidR="00D80372" w:rsidRPr="00C91068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C9106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</w:tcPr>
          <w:p w14:paraId="7EDEF63D" w14:textId="77777777" w:rsidR="00D80372" w:rsidRPr="00C91068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068">
              <w:rPr>
                <w:sz w:val="20"/>
                <w:szCs w:val="20"/>
              </w:rPr>
              <w:t>0502</w:t>
            </w:r>
          </w:p>
        </w:tc>
        <w:tc>
          <w:tcPr>
            <w:tcW w:w="993" w:type="dxa"/>
          </w:tcPr>
          <w:p w14:paraId="4A99709B" w14:textId="7098BF6A" w:rsidR="00D80372" w:rsidRPr="00C91068" w:rsidRDefault="00A13A9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B81BA41" w14:textId="20F40F3A" w:rsidR="00D80372" w:rsidRPr="00C91068" w:rsidRDefault="000057F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14:paraId="3AD3488C" w14:textId="21D20FB1" w:rsidR="00D80372" w:rsidRPr="00C91068" w:rsidRDefault="00B84EA2" w:rsidP="000C5254">
            <w:pPr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 раз</w:t>
            </w:r>
          </w:p>
        </w:tc>
        <w:tc>
          <w:tcPr>
            <w:tcW w:w="992" w:type="dxa"/>
          </w:tcPr>
          <w:p w14:paraId="5693034B" w14:textId="152FF9FA" w:rsidR="00D80372" w:rsidRPr="00081F93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60F22551" w14:textId="563F0EC6" w:rsidR="00D80372" w:rsidRPr="00B20ABB" w:rsidRDefault="00FD1AF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14:paraId="448E82CC" w14:textId="428E7DF9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14:paraId="2A3C94F1" w14:textId="71122050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639BE" w14:paraId="39F56CD4" w14:textId="77777777" w:rsidTr="000C5254">
        <w:tc>
          <w:tcPr>
            <w:tcW w:w="2694" w:type="dxa"/>
          </w:tcPr>
          <w:p w14:paraId="0CD45A7D" w14:textId="77777777" w:rsidR="00D80372" w:rsidRPr="000F6998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0F699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</w:tcPr>
          <w:p w14:paraId="49A03378" w14:textId="77777777" w:rsidR="00D80372" w:rsidRPr="000F6998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998"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</w:tcPr>
          <w:p w14:paraId="21E35611" w14:textId="2ED6A620" w:rsidR="00D80372" w:rsidRPr="002F6823" w:rsidRDefault="00A13A9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1856,4</w:t>
            </w:r>
          </w:p>
        </w:tc>
        <w:tc>
          <w:tcPr>
            <w:tcW w:w="992" w:type="dxa"/>
          </w:tcPr>
          <w:p w14:paraId="29698AFE" w14:textId="1BA55842" w:rsidR="00D80372" w:rsidRPr="000F6998" w:rsidRDefault="000057FA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587,6</w:t>
            </w:r>
          </w:p>
        </w:tc>
        <w:tc>
          <w:tcPr>
            <w:tcW w:w="709" w:type="dxa"/>
          </w:tcPr>
          <w:p w14:paraId="5105EA52" w14:textId="445CEFE0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92" w:type="dxa"/>
          </w:tcPr>
          <w:p w14:paraId="6AFB2088" w14:textId="61FABF70" w:rsidR="00D80372" w:rsidRPr="00081F93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709" w:type="dxa"/>
          </w:tcPr>
          <w:p w14:paraId="3F1BEBF4" w14:textId="29D9B68A" w:rsidR="00D80372" w:rsidRPr="00B20ABB" w:rsidRDefault="00FD1AF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992" w:type="dxa"/>
          </w:tcPr>
          <w:p w14:paraId="2D37D4DF" w14:textId="3042B708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1731,8</w:t>
            </w:r>
          </w:p>
        </w:tc>
        <w:tc>
          <w:tcPr>
            <w:tcW w:w="850" w:type="dxa"/>
          </w:tcPr>
          <w:p w14:paraId="51EE31B2" w14:textId="0DCC60E1" w:rsidR="00D80372" w:rsidRPr="00A43466" w:rsidRDefault="00FD1AF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2,7раза</w:t>
            </w:r>
          </w:p>
        </w:tc>
      </w:tr>
      <w:tr w:rsidR="00D80372" w:rsidRPr="005639BE" w14:paraId="0DE981D3" w14:textId="77777777" w:rsidTr="000C5254">
        <w:tc>
          <w:tcPr>
            <w:tcW w:w="2694" w:type="dxa"/>
          </w:tcPr>
          <w:p w14:paraId="175CE1D3" w14:textId="77777777" w:rsidR="00D80372" w:rsidRPr="00F41766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F41766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</w:tcPr>
          <w:p w14:paraId="61502934" w14:textId="77777777" w:rsidR="00D80372" w:rsidRPr="00F41766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3" w:type="dxa"/>
          </w:tcPr>
          <w:p w14:paraId="5B4989A7" w14:textId="287DB502" w:rsidR="00D80372" w:rsidRPr="00F41766" w:rsidRDefault="00A13A9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2F32BCBC" w14:textId="3D72B0B3" w:rsidR="00D80372" w:rsidRPr="00F41766" w:rsidRDefault="000057FA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487F55CF" w14:textId="77FCA422" w:rsidR="00D80372" w:rsidRPr="00F41766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14:paraId="580BB40C" w14:textId="30668024" w:rsidR="00D80372" w:rsidRPr="00F417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540725FF" w14:textId="122A42AF" w:rsidR="00D80372" w:rsidRPr="00F417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31498838" w14:textId="761D0ECD" w:rsidR="00D80372" w:rsidRPr="00F417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6CFBAB5A" w14:textId="6D16DFF3" w:rsidR="00D80372" w:rsidRPr="00F417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80372" w:rsidRPr="005639BE" w14:paraId="2BAF33E2" w14:textId="77777777" w:rsidTr="000C5254">
        <w:tc>
          <w:tcPr>
            <w:tcW w:w="2694" w:type="dxa"/>
          </w:tcPr>
          <w:p w14:paraId="5226454E" w14:textId="77777777" w:rsidR="00D80372" w:rsidRPr="000E2DED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0E2DED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</w:tcPr>
          <w:p w14:paraId="213DB062" w14:textId="77777777" w:rsidR="00D80372" w:rsidRPr="000E2DED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DED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3" w:type="dxa"/>
          </w:tcPr>
          <w:p w14:paraId="56A45A6B" w14:textId="05D2D020" w:rsidR="00D80372" w:rsidRPr="002F6823" w:rsidRDefault="00A13A9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7246,9</w:t>
            </w:r>
          </w:p>
        </w:tc>
        <w:tc>
          <w:tcPr>
            <w:tcW w:w="992" w:type="dxa"/>
          </w:tcPr>
          <w:p w14:paraId="7A2DAB43" w14:textId="7D888FF9" w:rsidR="00D80372" w:rsidRPr="000E2DED" w:rsidRDefault="000057FA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6308,4</w:t>
            </w:r>
          </w:p>
        </w:tc>
        <w:tc>
          <w:tcPr>
            <w:tcW w:w="709" w:type="dxa"/>
          </w:tcPr>
          <w:p w14:paraId="451014DD" w14:textId="36D2540A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14:paraId="14FD2EF1" w14:textId="192D539B" w:rsidR="00D80372" w:rsidRPr="00081F93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5302,3</w:t>
            </w:r>
          </w:p>
        </w:tc>
        <w:tc>
          <w:tcPr>
            <w:tcW w:w="709" w:type="dxa"/>
          </w:tcPr>
          <w:p w14:paraId="4FFE800F" w14:textId="5102FB47" w:rsidR="00D80372" w:rsidRPr="00B20ABB" w:rsidRDefault="00FD1AF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14:paraId="7183953D" w14:textId="29866E26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5226,1</w:t>
            </w:r>
          </w:p>
        </w:tc>
        <w:tc>
          <w:tcPr>
            <w:tcW w:w="850" w:type="dxa"/>
          </w:tcPr>
          <w:p w14:paraId="60014489" w14:textId="09DAD218" w:rsidR="00D80372" w:rsidRPr="00A43466" w:rsidRDefault="00FD1AF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</w:t>
            </w:r>
          </w:p>
        </w:tc>
      </w:tr>
      <w:tr w:rsidR="00D80372" w:rsidRPr="005639BE" w14:paraId="67F4C91D" w14:textId="77777777" w:rsidTr="000C5254">
        <w:tc>
          <w:tcPr>
            <w:tcW w:w="2694" w:type="dxa"/>
          </w:tcPr>
          <w:p w14:paraId="7B661F18" w14:textId="77777777" w:rsidR="00D80372" w:rsidRPr="000E2DED" w:rsidRDefault="00D80372" w:rsidP="000C5254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</w:tcPr>
          <w:p w14:paraId="17C3CC30" w14:textId="77777777" w:rsidR="00D80372" w:rsidRPr="000E2DED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14:paraId="4D7D19A4" w14:textId="4EE082E4" w:rsidR="00D80372" w:rsidRDefault="00A13A9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340,7</w:t>
            </w:r>
          </w:p>
        </w:tc>
        <w:tc>
          <w:tcPr>
            <w:tcW w:w="992" w:type="dxa"/>
          </w:tcPr>
          <w:p w14:paraId="534D7800" w14:textId="46462F96" w:rsidR="00D80372" w:rsidRPr="000E2DED" w:rsidRDefault="000057FA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340,7</w:t>
            </w:r>
          </w:p>
        </w:tc>
        <w:tc>
          <w:tcPr>
            <w:tcW w:w="709" w:type="dxa"/>
          </w:tcPr>
          <w:p w14:paraId="5E018685" w14:textId="05A40A86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B927314" w14:textId="15CD00E4" w:rsidR="00D80372" w:rsidRPr="00081F93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709" w:type="dxa"/>
          </w:tcPr>
          <w:p w14:paraId="3C55D382" w14:textId="767AE14A" w:rsidR="00D80372" w:rsidRPr="00B20ABB" w:rsidRDefault="00FD1AF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75,4</w:t>
            </w:r>
          </w:p>
        </w:tc>
        <w:tc>
          <w:tcPr>
            <w:tcW w:w="992" w:type="dxa"/>
          </w:tcPr>
          <w:p w14:paraId="439FE4D7" w14:textId="0B315B81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850" w:type="dxa"/>
          </w:tcPr>
          <w:p w14:paraId="681AD1F0" w14:textId="7D6AA550" w:rsidR="00D80372" w:rsidRPr="00A43466" w:rsidRDefault="00FD1AF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80372" w:rsidRPr="005639BE" w14:paraId="17A39887" w14:textId="77777777" w:rsidTr="000C5254">
        <w:tc>
          <w:tcPr>
            <w:tcW w:w="2694" w:type="dxa"/>
          </w:tcPr>
          <w:p w14:paraId="34D45113" w14:textId="77777777" w:rsidR="00D80372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Физич. культура и спорт</w:t>
            </w:r>
          </w:p>
        </w:tc>
        <w:tc>
          <w:tcPr>
            <w:tcW w:w="708" w:type="dxa"/>
          </w:tcPr>
          <w:p w14:paraId="50372330" w14:textId="77777777" w:rsidR="00D80372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14:paraId="6E4DC7BE" w14:textId="67A84753" w:rsidR="00D80372" w:rsidRDefault="00A13A9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4497,5</w:t>
            </w:r>
          </w:p>
        </w:tc>
        <w:tc>
          <w:tcPr>
            <w:tcW w:w="992" w:type="dxa"/>
          </w:tcPr>
          <w:p w14:paraId="38F4C606" w14:textId="429CCBEA" w:rsidR="00D80372" w:rsidRDefault="000057FA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14:paraId="215DB3B7" w14:textId="3AF4A871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14:paraId="22C43DA9" w14:textId="54B42399" w:rsidR="00D80372" w:rsidRPr="00081F93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14:paraId="5D7E4F7D" w14:textId="404B209C" w:rsidR="00D80372" w:rsidRPr="00B20ABB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1BC591B" w14:textId="29568734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14:paraId="41B353D3" w14:textId="43F2CA30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80372" w:rsidRPr="005639BE" w14:paraId="2AF1F6DF" w14:textId="77777777" w:rsidTr="000C5254">
        <w:trPr>
          <w:trHeight w:val="517"/>
        </w:trPr>
        <w:tc>
          <w:tcPr>
            <w:tcW w:w="2694" w:type="dxa"/>
            <w:tcBorders>
              <w:bottom w:val="single" w:sz="4" w:space="0" w:color="auto"/>
            </w:tcBorders>
          </w:tcPr>
          <w:p w14:paraId="7A1F2278" w14:textId="77777777" w:rsidR="00D80372" w:rsidRPr="003165B8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3165B8">
              <w:rPr>
                <w:b/>
                <w:sz w:val="20"/>
                <w:szCs w:val="20"/>
              </w:rPr>
              <w:t xml:space="preserve">Межбюджетные трансферты бюджетам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77A54FA" w14:textId="77777777" w:rsidR="00D80372" w:rsidRPr="003165B8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5B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1AA634" w14:textId="0508E908" w:rsidR="00D80372" w:rsidRPr="002F6823" w:rsidRDefault="00A13A9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66F93F" w14:textId="7ED57788" w:rsidR="00D80372" w:rsidRPr="003165B8" w:rsidRDefault="00D365C5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74D65C" w14:textId="75A2BD38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502D2F" w14:textId="5F23166A" w:rsidR="00D80372" w:rsidRPr="00081F93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E252E4" w14:textId="1BD57F14" w:rsidR="00D80372" w:rsidRPr="00B20ABB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92F315" w14:textId="7F827EAE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844904" w14:textId="15969873" w:rsidR="00D80372" w:rsidRPr="00A43466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80372" w:rsidRPr="005639BE" w14:paraId="4949B77B" w14:textId="77777777" w:rsidTr="000C5254">
        <w:tc>
          <w:tcPr>
            <w:tcW w:w="2694" w:type="dxa"/>
          </w:tcPr>
          <w:p w14:paraId="1F988961" w14:textId="77777777" w:rsidR="00D80372" w:rsidRPr="00C80599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C8059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39DB02D7" w14:textId="77777777" w:rsidR="00D80372" w:rsidRPr="00C80599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08B937" w14:textId="7753712B" w:rsidR="00D80372" w:rsidRPr="00C80599" w:rsidRDefault="00A13A95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23044,7</w:t>
            </w:r>
          </w:p>
        </w:tc>
        <w:tc>
          <w:tcPr>
            <w:tcW w:w="992" w:type="dxa"/>
          </w:tcPr>
          <w:p w14:paraId="43B634EB" w14:textId="05E6E3A5" w:rsidR="00D80372" w:rsidRPr="00C80599" w:rsidRDefault="00D365C5" w:rsidP="000C525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14955,5</w:t>
            </w:r>
          </w:p>
        </w:tc>
        <w:tc>
          <w:tcPr>
            <w:tcW w:w="709" w:type="dxa"/>
          </w:tcPr>
          <w:p w14:paraId="4018EF37" w14:textId="1B16C469" w:rsidR="00D80372" w:rsidRPr="00BE55E7" w:rsidRDefault="00B84EA2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14:paraId="179DF4A3" w14:textId="709A38A4" w:rsidR="00D80372" w:rsidRPr="00081F93" w:rsidRDefault="00B84EA2" w:rsidP="000C5254">
            <w:pPr>
              <w:autoSpaceDE w:val="0"/>
              <w:autoSpaceDN w:val="0"/>
              <w:adjustRightInd w:val="0"/>
              <w:ind w:righ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13002,2</w:t>
            </w:r>
          </w:p>
        </w:tc>
        <w:tc>
          <w:tcPr>
            <w:tcW w:w="709" w:type="dxa"/>
          </w:tcPr>
          <w:p w14:paraId="21BEDB05" w14:textId="69A5173C" w:rsidR="00D80372" w:rsidRPr="00B20ABB" w:rsidRDefault="00FD1AF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86,9</w:t>
            </w:r>
          </w:p>
        </w:tc>
        <w:tc>
          <w:tcPr>
            <w:tcW w:w="992" w:type="dxa"/>
          </w:tcPr>
          <w:p w14:paraId="31E5256F" w14:textId="74BB92A9" w:rsidR="00D80372" w:rsidRPr="008C05BD" w:rsidRDefault="00B84E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13911,9</w:t>
            </w:r>
          </w:p>
        </w:tc>
        <w:tc>
          <w:tcPr>
            <w:tcW w:w="850" w:type="dxa"/>
          </w:tcPr>
          <w:p w14:paraId="3ED9EC44" w14:textId="78D3C539" w:rsidR="00D80372" w:rsidRPr="00CB403F" w:rsidRDefault="00FD1AF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</w:tr>
    </w:tbl>
    <w:p w14:paraId="2C10CE2A" w14:textId="2AE5559D" w:rsidR="00D22078" w:rsidRDefault="00D22078" w:rsidP="00D2207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>
        <w:rPr>
          <w:rFonts w:eastAsia="SimSun"/>
        </w:rPr>
        <w:t>По сравнению с ожидаемым исполнением 202</w:t>
      </w:r>
      <w:r w:rsidR="009F6A96">
        <w:rPr>
          <w:rFonts w:eastAsia="SimSun"/>
        </w:rPr>
        <w:t>2</w:t>
      </w:r>
      <w:r>
        <w:rPr>
          <w:rFonts w:eastAsia="SimSun"/>
        </w:rPr>
        <w:t xml:space="preserve"> года проектом бюджета на </w:t>
      </w:r>
      <w:r w:rsidR="000E76FA">
        <w:rPr>
          <w:rFonts w:eastAsia="SimSun"/>
        </w:rPr>
        <w:t>2023</w:t>
      </w:r>
      <w:r>
        <w:rPr>
          <w:rFonts w:eastAsia="SimSun"/>
        </w:rPr>
        <w:t xml:space="preserve"> год расходы предусматриваются в меньшем объеме на </w:t>
      </w:r>
      <w:r w:rsidR="009F6A96">
        <w:rPr>
          <w:rFonts w:eastAsia="SimSun"/>
        </w:rPr>
        <w:t>35</w:t>
      </w:r>
      <w:r>
        <w:rPr>
          <w:rFonts w:eastAsia="SimSun"/>
        </w:rPr>
        <w:t xml:space="preserve">,1%, или на </w:t>
      </w:r>
      <w:r w:rsidR="009F6A96">
        <w:rPr>
          <w:rFonts w:eastAsia="SimSun"/>
        </w:rPr>
        <w:t>8089,2</w:t>
      </w:r>
      <w:r>
        <w:rPr>
          <w:rFonts w:eastAsia="SimSun"/>
        </w:rPr>
        <w:t xml:space="preserve"> тыс. руб. Так, ожидаемое исполнение расходной части бюджета 202</w:t>
      </w:r>
      <w:r w:rsidR="009F6A96">
        <w:rPr>
          <w:rFonts w:eastAsia="SimSun"/>
        </w:rPr>
        <w:t>2</w:t>
      </w:r>
      <w:r>
        <w:rPr>
          <w:rFonts w:eastAsia="SimSun"/>
        </w:rPr>
        <w:t xml:space="preserve"> год</w:t>
      </w:r>
      <w:r w:rsidR="009F6A96">
        <w:rPr>
          <w:rFonts w:eastAsia="SimSun"/>
        </w:rPr>
        <w:t>а</w:t>
      </w:r>
      <w:r>
        <w:rPr>
          <w:rFonts w:eastAsia="SimSun"/>
        </w:rPr>
        <w:t xml:space="preserve"> – </w:t>
      </w:r>
      <w:r w:rsidR="009F6A96">
        <w:rPr>
          <w:rFonts w:eastAsia="SimSun"/>
        </w:rPr>
        <w:t>23044,4</w:t>
      </w:r>
      <w:r>
        <w:rPr>
          <w:rFonts w:eastAsia="SimSun"/>
        </w:rPr>
        <w:t xml:space="preserve"> тыс. руб., на </w:t>
      </w:r>
      <w:r w:rsidR="000E76FA">
        <w:rPr>
          <w:rFonts w:eastAsia="SimSun"/>
        </w:rPr>
        <w:t>2023</w:t>
      </w:r>
      <w:r>
        <w:rPr>
          <w:rFonts w:eastAsia="SimSun"/>
        </w:rPr>
        <w:t xml:space="preserve"> год – </w:t>
      </w:r>
      <w:r w:rsidR="009F6A96">
        <w:rPr>
          <w:rFonts w:eastAsia="SimSun"/>
        </w:rPr>
        <w:t>14955,5</w:t>
      </w:r>
      <w:r>
        <w:rPr>
          <w:rFonts w:eastAsia="SimSun"/>
        </w:rPr>
        <w:t xml:space="preserve"> тыс. руб. Снижение расходов, в основном, связано с тем, что в 202</w:t>
      </w:r>
      <w:r w:rsidR="00EF4FBF">
        <w:rPr>
          <w:rFonts w:eastAsia="SimSun"/>
        </w:rPr>
        <w:t>2</w:t>
      </w:r>
      <w:r>
        <w:rPr>
          <w:rFonts w:eastAsia="SimSun"/>
        </w:rPr>
        <w:t xml:space="preserve"> году ожидается произвести расходы за счет субсиди</w:t>
      </w:r>
      <w:r w:rsidR="005B069F">
        <w:rPr>
          <w:rFonts w:eastAsia="SimSun"/>
        </w:rPr>
        <w:t>й</w:t>
      </w:r>
      <w:r>
        <w:rPr>
          <w:rFonts w:eastAsia="SimSun"/>
        </w:rPr>
        <w:t xml:space="preserve"> из областного бюджета </w:t>
      </w:r>
      <w:r w:rsidR="005B069F">
        <w:rPr>
          <w:rFonts w:eastAsia="SimSun"/>
        </w:rPr>
        <w:t xml:space="preserve">на </w:t>
      </w:r>
      <w:r w:rsidR="005B069F">
        <w:rPr>
          <w:rFonts w:eastAsia="SimSun"/>
        </w:rPr>
        <w:lastRenderedPageBreak/>
        <w:t>благоустройство территории (655тыс.руб.), на создание плоскостного сооружения (4264,8тыс.руб.), на мероприятия по формированию современной городской среды (318,8тыс.руб.).</w:t>
      </w:r>
      <w:r w:rsidR="00EF4FBF">
        <w:rPr>
          <w:rFonts w:eastAsia="SimSun"/>
        </w:rPr>
        <w:t xml:space="preserve"> Необходимо также отметить, что в ходе исполнения бюджетов объем бюджетных ассигнований корректируется обычно в сторону значительного их увеличения. Так, первоначально расходная часть бюджета на 2022 год была сформирована в сумме </w:t>
      </w:r>
      <w:r w:rsidR="00F04692">
        <w:rPr>
          <w:rFonts w:eastAsia="SimSun"/>
        </w:rPr>
        <w:t xml:space="preserve">12461,8тыс.руб., но к ноябрю 2022года расходы были утверждены решением Думы в объеме 23044,7тыс.руб., или в 1,8 раза выше, чем прогнозировалось проектом. </w:t>
      </w:r>
    </w:p>
    <w:p w14:paraId="1BC1EAFD" w14:textId="706C0175" w:rsidR="00D22078" w:rsidRDefault="00D22078" w:rsidP="00D2207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>
        <w:rPr>
          <w:rFonts w:eastAsia="SimSun"/>
        </w:rPr>
        <w:t>Сравнительный анализ бюджетных ассигнований на 202</w:t>
      </w:r>
      <w:r w:rsidR="00F04692">
        <w:rPr>
          <w:rFonts w:eastAsia="SimSun"/>
        </w:rPr>
        <w:t>2</w:t>
      </w:r>
      <w:r>
        <w:rPr>
          <w:rFonts w:eastAsia="SimSun"/>
        </w:rPr>
        <w:t>-</w:t>
      </w:r>
      <w:r w:rsidR="000E76FA">
        <w:rPr>
          <w:rFonts w:eastAsia="SimSun"/>
        </w:rPr>
        <w:t>2023</w:t>
      </w:r>
      <w:r>
        <w:rPr>
          <w:rFonts w:eastAsia="SimSun"/>
        </w:rPr>
        <w:t>гг. в разрезе бюджетной классификации приведен на рисунке №</w:t>
      </w:r>
      <w:r w:rsidR="00421FC2">
        <w:rPr>
          <w:rFonts w:eastAsia="SimSun"/>
        </w:rPr>
        <w:t xml:space="preserve"> </w:t>
      </w:r>
      <w:r>
        <w:rPr>
          <w:rFonts w:eastAsia="SimSun"/>
        </w:rPr>
        <w:t>2.</w:t>
      </w:r>
    </w:p>
    <w:p w14:paraId="7960BB8E" w14:textId="77777777" w:rsidR="00D22078" w:rsidRDefault="00D22078" w:rsidP="00D22078">
      <w:pPr>
        <w:autoSpaceDE w:val="0"/>
        <w:autoSpaceDN w:val="0"/>
        <w:adjustRightInd w:val="0"/>
        <w:ind w:firstLine="540"/>
        <w:jc w:val="right"/>
        <w:rPr>
          <w:rFonts w:eastAsia="SimSun"/>
        </w:rPr>
      </w:pPr>
      <w:r>
        <w:rPr>
          <w:rFonts w:eastAsia="SimSun"/>
        </w:rPr>
        <w:t>Рисунок № 2</w:t>
      </w:r>
    </w:p>
    <w:p w14:paraId="0F083A03" w14:textId="77777777" w:rsidR="00B01BC1" w:rsidRDefault="00B01BC1" w:rsidP="005331BE">
      <w:pPr>
        <w:autoSpaceDE w:val="0"/>
        <w:autoSpaceDN w:val="0"/>
        <w:adjustRightInd w:val="0"/>
        <w:ind w:left="-283" w:firstLine="540"/>
        <w:jc w:val="both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t>.</w:t>
      </w:r>
      <w:r w:rsidRPr="003C3612">
        <w:rPr>
          <w:rFonts w:eastAsia="SimSun"/>
        </w:rPr>
        <w:t xml:space="preserve"> </w:t>
      </w:r>
      <w:r w:rsidRPr="00D10103">
        <w:rPr>
          <w:noProof/>
        </w:rPr>
        <w:drawing>
          <wp:inline distT="0" distB="0" distL="0" distR="0" wp14:anchorId="0E1431AB" wp14:editId="23EC6CBE">
            <wp:extent cx="5695950" cy="32385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A64FA5" w14:textId="77777777" w:rsidR="00D22078" w:rsidRDefault="00D22078" w:rsidP="00D22078">
      <w:pPr>
        <w:autoSpaceDE w:val="0"/>
        <w:autoSpaceDN w:val="0"/>
        <w:adjustRightInd w:val="0"/>
        <w:ind w:left="-283" w:firstLine="540"/>
        <w:jc w:val="both"/>
        <w:rPr>
          <w:rFonts w:eastAsia="SimSun"/>
        </w:rPr>
      </w:pPr>
    </w:p>
    <w:p w14:paraId="0C4A3C85" w14:textId="6BE6C0EC" w:rsidR="00D22078" w:rsidRDefault="00D22078" w:rsidP="00D2207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3C3612">
        <w:t xml:space="preserve">Проектом бюджета поселения предлагается увеличить расходы бюджета поселения в </w:t>
      </w:r>
      <w:r w:rsidR="000E76FA">
        <w:t>2023</w:t>
      </w:r>
      <w:r w:rsidRPr="003C3612">
        <w:t xml:space="preserve"> году по сравнению с текущим годом </w:t>
      </w:r>
      <w:r w:rsidR="008E3D74">
        <w:t xml:space="preserve">всего </w:t>
      </w:r>
      <w:r>
        <w:t xml:space="preserve">по </w:t>
      </w:r>
      <w:r w:rsidR="008E3D74">
        <w:t>дву</w:t>
      </w:r>
      <w:r>
        <w:t xml:space="preserve">м </w:t>
      </w:r>
      <w:r w:rsidRPr="003C3612">
        <w:t>разделам</w:t>
      </w:r>
      <w:r>
        <w:t>:</w:t>
      </w:r>
      <w:r w:rsidRPr="003C3612">
        <w:rPr>
          <w:rFonts w:eastAsia="SimSun"/>
        </w:rPr>
        <w:t xml:space="preserve"> «</w:t>
      </w:r>
      <w:r>
        <w:rPr>
          <w:rFonts w:eastAsia="SimSun"/>
        </w:rPr>
        <w:t>Национальная оборона</w:t>
      </w:r>
      <w:r w:rsidRPr="003C3612">
        <w:rPr>
          <w:rFonts w:eastAsia="SimSun"/>
        </w:rPr>
        <w:t xml:space="preserve">» на </w:t>
      </w:r>
      <w:r w:rsidR="008E3D74">
        <w:rPr>
          <w:rFonts w:eastAsia="SimSun"/>
        </w:rPr>
        <w:t>1</w:t>
      </w:r>
      <w:r>
        <w:rPr>
          <w:rFonts w:eastAsia="SimSun"/>
        </w:rPr>
        <w:t>4,</w:t>
      </w:r>
      <w:r w:rsidR="008E3D74">
        <w:rPr>
          <w:rFonts w:eastAsia="SimSun"/>
        </w:rPr>
        <w:t>6</w:t>
      </w:r>
      <w:r>
        <w:rPr>
          <w:rFonts w:eastAsia="SimSun"/>
        </w:rPr>
        <w:t xml:space="preserve"> % за счет средств федерального бюджета на осуществление первичного воинского учета</w:t>
      </w:r>
      <w:r w:rsidR="008E3D74">
        <w:rPr>
          <w:rFonts w:eastAsia="SimSun"/>
        </w:rPr>
        <w:t xml:space="preserve"> и</w:t>
      </w:r>
      <w:r>
        <w:rPr>
          <w:rFonts w:eastAsia="SimSun"/>
        </w:rPr>
        <w:t xml:space="preserve"> по разделу «Межбюджетные трансферта» на 9</w:t>
      </w:r>
      <w:r w:rsidR="008E3D74">
        <w:rPr>
          <w:rFonts w:eastAsia="SimSun"/>
        </w:rPr>
        <w:t>,1</w:t>
      </w:r>
      <w:r>
        <w:rPr>
          <w:rFonts w:eastAsia="SimSun"/>
        </w:rPr>
        <w:t xml:space="preserve">%, </w:t>
      </w:r>
      <w:r w:rsidR="008E3D74">
        <w:rPr>
          <w:rFonts w:eastAsia="SimSun"/>
        </w:rPr>
        <w:t xml:space="preserve">по остальным восьми разделам </w:t>
      </w:r>
      <w:r>
        <w:rPr>
          <w:rFonts w:eastAsia="SimSun"/>
        </w:rPr>
        <w:t>расход</w:t>
      </w:r>
      <w:r w:rsidR="008E3D74">
        <w:rPr>
          <w:rFonts w:eastAsia="SimSun"/>
        </w:rPr>
        <w:t>ы</w:t>
      </w:r>
      <w:r>
        <w:rPr>
          <w:rFonts w:eastAsia="SimSun"/>
        </w:rPr>
        <w:t xml:space="preserve"> </w:t>
      </w:r>
      <w:r w:rsidR="008E3D74">
        <w:rPr>
          <w:rFonts w:eastAsia="SimSun"/>
        </w:rPr>
        <w:t>с</w:t>
      </w:r>
      <w:r>
        <w:rPr>
          <w:rFonts w:eastAsia="SimSun"/>
        </w:rPr>
        <w:t>прогнозир</w:t>
      </w:r>
      <w:r w:rsidR="008E3D74">
        <w:rPr>
          <w:rFonts w:eastAsia="SimSun"/>
        </w:rPr>
        <w:t>ованы с</w:t>
      </w:r>
      <w:r>
        <w:rPr>
          <w:rFonts w:eastAsia="SimSun"/>
        </w:rPr>
        <w:t xml:space="preserve"> </w:t>
      </w:r>
      <w:r w:rsidR="008E3D74">
        <w:rPr>
          <w:rFonts w:eastAsia="SimSun"/>
        </w:rPr>
        <w:t>по</w:t>
      </w:r>
      <w:r w:rsidR="008E3D74" w:rsidRPr="008E3D74">
        <w:rPr>
          <w:rFonts w:eastAsia="SimSun"/>
        </w:rPr>
        <w:t>нижение</w:t>
      </w:r>
      <w:r w:rsidR="008E3D74">
        <w:rPr>
          <w:rFonts w:eastAsia="SimSun"/>
        </w:rPr>
        <w:t>м.</w:t>
      </w:r>
    </w:p>
    <w:p w14:paraId="17006A0C" w14:textId="1F02F41C" w:rsidR="00D22078" w:rsidRDefault="00D80372" w:rsidP="00D80372">
      <w:pPr>
        <w:autoSpaceDE w:val="0"/>
        <w:autoSpaceDN w:val="0"/>
        <w:adjustRightInd w:val="0"/>
        <w:ind w:firstLine="540"/>
        <w:jc w:val="both"/>
      </w:pPr>
      <w:r w:rsidRPr="005F7BC7">
        <w:t>Основную долю в структуре расходов предстоящего финансового года состав</w:t>
      </w:r>
      <w:r>
        <w:t>и</w:t>
      </w:r>
      <w:r w:rsidRPr="005F7BC7">
        <w:t xml:space="preserve">т заработная плата с начислениями </w:t>
      </w:r>
      <w:r>
        <w:t xml:space="preserve">– </w:t>
      </w:r>
      <w:r w:rsidR="008E3D74">
        <w:t>72,5</w:t>
      </w:r>
      <w:r w:rsidRPr="005F7BC7">
        <w:t>%</w:t>
      </w:r>
      <w:r>
        <w:t>,</w:t>
      </w:r>
      <w:r w:rsidRPr="005F7BC7">
        <w:t xml:space="preserve"> или </w:t>
      </w:r>
      <w:r w:rsidR="008E3D74">
        <w:t>10848,9</w:t>
      </w:r>
      <w:r w:rsidR="00D22078">
        <w:t xml:space="preserve"> т</w:t>
      </w:r>
      <w:r w:rsidRPr="005F7BC7">
        <w:t>ыс. руб.</w:t>
      </w:r>
      <w:r>
        <w:t xml:space="preserve">, на </w:t>
      </w:r>
      <w:r w:rsidR="000E76FA">
        <w:t>2024</w:t>
      </w:r>
      <w:r>
        <w:t xml:space="preserve"> год –</w:t>
      </w:r>
      <w:r w:rsidR="00D22078">
        <w:t>6</w:t>
      </w:r>
      <w:r w:rsidR="00DF42A8">
        <w:t>8</w:t>
      </w:r>
      <w:r w:rsidR="00D22078">
        <w:t>%</w:t>
      </w:r>
      <w:r>
        <w:t xml:space="preserve">, или </w:t>
      </w:r>
      <w:r w:rsidR="00DF42A8">
        <w:t>8856,3</w:t>
      </w:r>
      <w:r>
        <w:t xml:space="preserve"> тыс. руб., на </w:t>
      </w:r>
      <w:r w:rsidR="000E76FA">
        <w:t>2025</w:t>
      </w:r>
      <w:r w:rsidR="00D22078">
        <w:t xml:space="preserve"> год – </w:t>
      </w:r>
      <w:r w:rsidR="00DF42A8">
        <w:t>63</w:t>
      </w:r>
      <w:r w:rsidR="00D22078">
        <w:t xml:space="preserve">%, или </w:t>
      </w:r>
      <w:r w:rsidR="00DF42A8">
        <w:t>8710,8</w:t>
      </w:r>
      <w:r>
        <w:t xml:space="preserve"> тыс. руб.</w:t>
      </w:r>
      <w:r w:rsidRPr="005F7BC7">
        <w:t xml:space="preserve"> </w:t>
      </w:r>
      <w:r>
        <w:t xml:space="preserve">На закупку товаров, работ и услуг бюджетные ассигнования предусмотрены на </w:t>
      </w:r>
      <w:r w:rsidR="000E76FA">
        <w:t>2023</w:t>
      </w:r>
      <w:r w:rsidR="00D22078">
        <w:t xml:space="preserve">г. </w:t>
      </w:r>
      <w:r w:rsidR="00DF42A8">
        <w:t>в сумме</w:t>
      </w:r>
      <w:r w:rsidR="00D22078">
        <w:t xml:space="preserve"> </w:t>
      </w:r>
      <w:r w:rsidR="00DF42A8">
        <w:t>29</w:t>
      </w:r>
      <w:r w:rsidR="0080560C">
        <w:t>7</w:t>
      </w:r>
      <w:r w:rsidR="00DF42A8">
        <w:t>9,2</w:t>
      </w:r>
      <w:r w:rsidR="00D22078">
        <w:t xml:space="preserve"> тыс. руб.,</w:t>
      </w:r>
      <w:r w:rsidR="00DF42A8">
        <w:t xml:space="preserve"> на 2024 год - 3136,1тыс.руб.,</w:t>
      </w:r>
      <w:r w:rsidR="00D22078">
        <w:t xml:space="preserve"> на </w:t>
      </w:r>
      <w:r w:rsidR="000E76FA">
        <w:t>2025</w:t>
      </w:r>
      <w:r w:rsidR="00D22078">
        <w:t xml:space="preserve">г. – </w:t>
      </w:r>
      <w:r w:rsidR="00DF42A8">
        <w:t>3059,5</w:t>
      </w:r>
      <w:r w:rsidR="00D22078">
        <w:t xml:space="preserve"> тыс. руб.</w:t>
      </w:r>
    </w:p>
    <w:p w14:paraId="4F5B9E8D" w14:textId="32851ABE" w:rsidR="0054036B" w:rsidRDefault="0054036B" w:rsidP="00D80372">
      <w:pPr>
        <w:autoSpaceDE w:val="0"/>
        <w:autoSpaceDN w:val="0"/>
        <w:adjustRightInd w:val="0"/>
        <w:ind w:firstLine="540"/>
        <w:jc w:val="both"/>
      </w:pPr>
      <w:r>
        <w:t>В целом можно сказать, что в предлагаемом к утверждению бюджете не в полной мере обеспечены расходные обязательства даже по первоочередным обязательствам, таким как заработная плата и коммунальные платежи. Так, например, на 2023 год расходы на заработную плату заложены на 9 месяцев, а на 2024-2025гг. - только на 7 месяцев. Коммунальные платежи (эл.энергия) на 2023 год обеспечены ассигнованиями на 7 месяцев, на 2024-2025 годы - только на 5 месяцев. В полной мере заложены ассигнования на реализацию мероприятий, где участвует областное софинансирование</w:t>
      </w:r>
      <w:r w:rsidR="00365860">
        <w:t xml:space="preserve"> (народные инициативы, областные полномочия, ликвидация несанкционированных свалок).</w:t>
      </w:r>
    </w:p>
    <w:p w14:paraId="05F11CE3" w14:textId="77777777" w:rsidR="00D80372" w:rsidRPr="00EA2249" w:rsidRDefault="00D80372" w:rsidP="00D80372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14:paraId="0DEDF1BB" w14:textId="77777777" w:rsidR="00D80372" w:rsidRPr="00FA4229" w:rsidRDefault="00D80372" w:rsidP="00D80372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FA4229">
        <w:rPr>
          <w:b/>
          <w:u w:val="single"/>
        </w:rPr>
        <w:t>Раздел 01 «Общегосударственные вопросы»</w:t>
      </w:r>
    </w:p>
    <w:p w14:paraId="7C5F4E6C" w14:textId="4738D02C" w:rsidR="00D80372" w:rsidRPr="00F31448" w:rsidRDefault="00D80372" w:rsidP="00D80372">
      <w:pPr>
        <w:autoSpaceDE w:val="0"/>
        <w:autoSpaceDN w:val="0"/>
        <w:adjustRightInd w:val="0"/>
        <w:ind w:firstLine="567"/>
        <w:jc w:val="both"/>
      </w:pPr>
      <w:r w:rsidRPr="00F31448">
        <w:t xml:space="preserve">По </w:t>
      </w:r>
      <w:r w:rsidR="00DF42A8">
        <w:t xml:space="preserve">данному </w:t>
      </w:r>
      <w:r w:rsidRPr="00F31448">
        <w:t xml:space="preserve">разделу отражены расходы на функционирование высшего должностного лица органа местного самоуправления, </w:t>
      </w:r>
      <w:r>
        <w:t>администрации, резервный фонд</w:t>
      </w:r>
      <w:r w:rsidRPr="00F31448">
        <w:t xml:space="preserve"> и другие общегосударственные расходы.</w:t>
      </w:r>
    </w:p>
    <w:p w14:paraId="6F508DFA" w14:textId="0C339F4B" w:rsidR="00D22078" w:rsidRDefault="00D80372" w:rsidP="00D22078">
      <w:pPr>
        <w:autoSpaceDE w:val="0"/>
        <w:autoSpaceDN w:val="0"/>
        <w:adjustRightInd w:val="0"/>
        <w:ind w:firstLine="567"/>
        <w:jc w:val="both"/>
      </w:pPr>
      <w:r w:rsidRPr="00F31448">
        <w:lastRenderedPageBreak/>
        <w:t xml:space="preserve">Общий объем расходов по данному разделу запланирован на </w:t>
      </w:r>
      <w:r w:rsidR="000E76FA">
        <w:t>2023</w:t>
      </w:r>
      <w:r w:rsidRPr="00F31448">
        <w:t xml:space="preserve"> год в сумме</w:t>
      </w:r>
      <w:r w:rsidR="00D22078">
        <w:t xml:space="preserve"> </w:t>
      </w:r>
      <w:r w:rsidR="00DF42A8">
        <w:t>5410,6</w:t>
      </w:r>
      <w:r w:rsidR="00D22078">
        <w:t xml:space="preserve"> тыс. руб., что состав</w:t>
      </w:r>
      <w:r w:rsidR="00DF42A8">
        <w:t>ляе</w:t>
      </w:r>
      <w:r w:rsidR="00D22078">
        <w:t>т 8</w:t>
      </w:r>
      <w:r w:rsidR="00DF42A8">
        <w:t>4,5</w:t>
      </w:r>
      <w:r w:rsidR="00D22078">
        <w:t>% к ожидаемому исполнению 202</w:t>
      </w:r>
      <w:r w:rsidR="00DF42A8">
        <w:t>2</w:t>
      </w:r>
      <w:r w:rsidR="00D22078">
        <w:t xml:space="preserve"> года, или </w:t>
      </w:r>
      <w:r w:rsidR="00DF42A8">
        <w:t>36,2</w:t>
      </w:r>
      <w:r w:rsidR="00D22078">
        <w:t xml:space="preserve">% от общего объема планируемых расходов. На </w:t>
      </w:r>
      <w:r w:rsidR="000E76FA">
        <w:t>2024</w:t>
      </w:r>
      <w:r w:rsidR="00D22078">
        <w:t xml:space="preserve"> и </w:t>
      </w:r>
      <w:r w:rsidR="000E76FA">
        <w:t>2025</w:t>
      </w:r>
      <w:r w:rsidR="00D22078">
        <w:t xml:space="preserve"> годы расходы на решение общегосударственных вопросов запланированы в объеме </w:t>
      </w:r>
      <w:r w:rsidR="00DF42A8">
        <w:t>4368,1</w:t>
      </w:r>
      <w:r w:rsidR="00D22078">
        <w:t xml:space="preserve"> тыс. руб. и </w:t>
      </w:r>
      <w:r w:rsidR="00DF42A8">
        <w:t>4189,4</w:t>
      </w:r>
      <w:r w:rsidR="00D22078">
        <w:t xml:space="preserve"> тыс. руб. соответственно.</w:t>
      </w:r>
    </w:p>
    <w:p w14:paraId="048649B7" w14:textId="75281A33" w:rsidR="001F3A19" w:rsidRDefault="00D80372" w:rsidP="001F3A19">
      <w:pPr>
        <w:autoSpaceDE w:val="0"/>
        <w:autoSpaceDN w:val="0"/>
        <w:adjustRightInd w:val="0"/>
        <w:ind w:firstLine="567"/>
        <w:jc w:val="both"/>
      </w:pPr>
      <w:r w:rsidRPr="00F31448">
        <w:t xml:space="preserve"> </w:t>
      </w:r>
      <w:r w:rsidRPr="00F02194">
        <w:rPr>
          <w:b/>
        </w:rPr>
        <w:t>По подразделу 0102 «Функционирование высшего должностного лица»</w:t>
      </w:r>
      <w:r w:rsidRPr="00F02194">
        <w:t xml:space="preserve"> предусмотрен объем расходов на содержание главы муниципального образования </w:t>
      </w:r>
      <w:r w:rsidR="00DF42A8">
        <w:t>на</w:t>
      </w:r>
      <w:r w:rsidRPr="00F02194">
        <w:t xml:space="preserve"> </w:t>
      </w:r>
      <w:r w:rsidR="000E76FA">
        <w:t>2023</w:t>
      </w:r>
      <w:r w:rsidRPr="00F02194">
        <w:t xml:space="preserve"> год</w:t>
      </w:r>
      <w:r w:rsidR="00DF42A8">
        <w:t xml:space="preserve"> и каждый год планового периода</w:t>
      </w:r>
      <w:r w:rsidRPr="00F02194">
        <w:t xml:space="preserve"> в сумме </w:t>
      </w:r>
      <w:r w:rsidR="005B069F">
        <w:t xml:space="preserve">по </w:t>
      </w:r>
      <w:r w:rsidR="001F3A19">
        <w:t>1128,1</w:t>
      </w:r>
      <w:r w:rsidR="00D22078">
        <w:t xml:space="preserve"> </w:t>
      </w:r>
      <w:r w:rsidRPr="00F02194">
        <w:t>тыс. рублей</w:t>
      </w:r>
      <w:r w:rsidRPr="00886859">
        <w:t>,</w:t>
      </w:r>
      <w:r w:rsidRPr="00A441D3">
        <w:rPr>
          <w:color w:val="FF0000"/>
        </w:rPr>
        <w:t xml:space="preserve"> </w:t>
      </w:r>
      <w:r w:rsidRPr="002E7350">
        <w:t>что</w:t>
      </w:r>
      <w:r w:rsidRPr="00110949">
        <w:t xml:space="preserve"> составит </w:t>
      </w:r>
      <w:r w:rsidR="001F3A19">
        <w:t>74,1</w:t>
      </w:r>
      <w:r w:rsidRPr="00110949">
        <w:t xml:space="preserve">% к ожидаемому исполнению </w:t>
      </w:r>
      <w:r>
        <w:t>202</w:t>
      </w:r>
      <w:r w:rsidR="001F3A19">
        <w:t>2</w:t>
      </w:r>
      <w:r w:rsidRPr="00110949">
        <w:t xml:space="preserve"> года</w:t>
      </w:r>
      <w:r>
        <w:t xml:space="preserve"> (1</w:t>
      </w:r>
      <w:r w:rsidR="001F3A19">
        <w:t>523,2</w:t>
      </w:r>
      <w:r>
        <w:t>тыс. руб.)</w:t>
      </w:r>
      <w:r w:rsidRPr="00110949">
        <w:t>.</w:t>
      </w:r>
      <w:r>
        <w:t xml:space="preserve"> Согласно пояснительной записке к Проекту расходы на заработную плату на </w:t>
      </w:r>
      <w:r w:rsidR="001F3A19">
        <w:t>плановый период</w:t>
      </w:r>
      <w:r>
        <w:t xml:space="preserve"> предусмотрены на </w:t>
      </w:r>
      <w:r w:rsidR="001F3A19">
        <w:t>9</w:t>
      </w:r>
      <w:r>
        <w:t xml:space="preserve"> месяцев.</w:t>
      </w:r>
      <w:r w:rsidR="00D22078">
        <w:t xml:space="preserve">  </w:t>
      </w:r>
      <w:r w:rsidR="001F3A19" w:rsidRPr="001F3A19">
        <w:t xml:space="preserve">В составе данных расходов предусмотрены расходы на выплату денежного содержания в сумме </w:t>
      </w:r>
      <w:r w:rsidR="00883958">
        <w:t>851,1</w:t>
      </w:r>
      <w:r w:rsidR="001F3A19" w:rsidRPr="001F3A19">
        <w:t>тыс.руб.</w:t>
      </w:r>
      <w:r w:rsidR="00883958">
        <w:t>,</w:t>
      </w:r>
      <w:r w:rsidR="001F3A19" w:rsidRPr="001F3A19">
        <w:t xml:space="preserve"> </w:t>
      </w:r>
      <w:r w:rsidR="00883958">
        <w:t xml:space="preserve">на </w:t>
      </w:r>
      <w:r w:rsidR="001F3A19" w:rsidRPr="001F3A19">
        <w:t xml:space="preserve">перечисление страховых взносов в сумме </w:t>
      </w:r>
      <w:r w:rsidR="00883958" w:rsidRPr="00883958">
        <w:t>257</w:t>
      </w:r>
      <w:r w:rsidR="001F3A19" w:rsidRPr="00883958">
        <w:t>тыс</w:t>
      </w:r>
      <w:r w:rsidR="001F3A19" w:rsidRPr="001F3A19">
        <w:t>.руб.</w:t>
      </w:r>
      <w:r w:rsidR="00883958">
        <w:t xml:space="preserve"> и на оплату командировочных расходов - 20 тыс.руб.</w:t>
      </w:r>
      <w:r w:rsidR="001F3A19" w:rsidRPr="001F3A19">
        <w:t xml:space="preserve"> Письмом Министерства труда и занятости Иркутской области от 1</w:t>
      </w:r>
      <w:r w:rsidR="005F1F45">
        <w:t>0</w:t>
      </w:r>
      <w:r w:rsidR="001F3A19" w:rsidRPr="001F3A19">
        <w:t>.1</w:t>
      </w:r>
      <w:r w:rsidR="005F1F45">
        <w:t>1</w:t>
      </w:r>
      <w:r w:rsidR="001F3A19" w:rsidRPr="001F3A19">
        <w:t>.202</w:t>
      </w:r>
      <w:r w:rsidR="005F1F45">
        <w:t>2</w:t>
      </w:r>
      <w:r w:rsidR="001F3A19" w:rsidRPr="001F3A19">
        <w:t xml:space="preserve"> № 02-74-5</w:t>
      </w:r>
      <w:r w:rsidR="005F1F45">
        <w:t>0</w:t>
      </w:r>
      <w:r w:rsidR="001F3A19" w:rsidRPr="001F3A19">
        <w:t>26/2</w:t>
      </w:r>
      <w:r w:rsidR="005F1F45">
        <w:t>2</w:t>
      </w:r>
      <w:r w:rsidR="001F3A19" w:rsidRPr="001F3A19">
        <w:t xml:space="preserve"> доведены нормативы формирования расходов на оплату труда мэров (глав) муниципальных образований на 202</w:t>
      </w:r>
      <w:r w:rsidR="005F1F45">
        <w:t>3</w:t>
      </w:r>
      <w:r w:rsidR="001F3A19" w:rsidRPr="001F3A19">
        <w:t xml:space="preserve">год, согласно которым норматив расходов на оплату труда главы </w:t>
      </w:r>
      <w:r w:rsidR="005F1F45">
        <w:t>Каразейс</w:t>
      </w:r>
      <w:r w:rsidR="001F3A19" w:rsidRPr="001F3A19">
        <w:t xml:space="preserve">кого МО установлен в размере </w:t>
      </w:r>
      <w:r w:rsidR="005F1F45">
        <w:t>1135,3</w:t>
      </w:r>
      <w:r w:rsidR="001F3A19" w:rsidRPr="001F3A19">
        <w:t>тыс.руб.</w:t>
      </w:r>
      <w:r w:rsidR="00AB5DA8">
        <w:t xml:space="preserve"> (рост к нормативу прошлого года на 11%).</w:t>
      </w:r>
      <w:r w:rsidR="001F3A19" w:rsidRPr="001F3A19">
        <w:t xml:space="preserve"> </w:t>
      </w:r>
      <w:r w:rsidR="005F1F45">
        <w:t xml:space="preserve">Учитывая начисление страховых взносов </w:t>
      </w:r>
      <w:r w:rsidR="00AB5DA8">
        <w:t xml:space="preserve">в сумме 342,9тыс.руб., расходы на командировки 20тыс.руб., общий объем расходов на содержание главы поселения слаживается в сумме </w:t>
      </w:r>
      <w:r w:rsidR="00AB5DA8" w:rsidRPr="00AB5DA8">
        <w:rPr>
          <w:u w:val="single"/>
        </w:rPr>
        <w:t>1498,2тыс.руб</w:t>
      </w:r>
      <w:r w:rsidR="00AB5DA8">
        <w:t xml:space="preserve">. </w:t>
      </w:r>
      <w:r w:rsidR="005F1F45">
        <w:t>Как видно</w:t>
      </w:r>
      <w:r w:rsidR="00AB5DA8">
        <w:t>, р</w:t>
      </w:r>
      <w:r w:rsidR="001F3A19" w:rsidRPr="001F3A19">
        <w:t xml:space="preserve">асходы на содержание главы </w:t>
      </w:r>
      <w:r w:rsidR="00AB5DA8">
        <w:t xml:space="preserve">Каразейского </w:t>
      </w:r>
      <w:r w:rsidR="001F3A19" w:rsidRPr="001F3A19">
        <w:t xml:space="preserve">МО </w:t>
      </w:r>
      <w:r w:rsidR="00AB5DA8">
        <w:t>за</w:t>
      </w:r>
      <w:r w:rsidR="001F3A19" w:rsidRPr="001F3A19">
        <w:t>планирова</w:t>
      </w:r>
      <w:r w:rsidR="00AB5DA8">
        <w:t>ны ниже потребности на 370,1тыс.руб.</w:t>
      </w:r>
    </w:p>
    <w:p w14:paraId="087F094C" w14:textId="3A4B3856" w:rsidR="00D80372" w:rsidRDefault="00D80372" w:rsidP="001F3A19">
      <w:pPr>
        <w:autoSpaceDE w:val="0"/>
        <w:autoSpaceDN w:val="0"/>
        <w:adjustRightInd w:val="0"/>
        <w:ind w:firstLine="567"/>
        <w:jc w:val="both"/>
      </w:pPr>
      <w:r w:rsidRPr="000F7DDB">
        <w:rPr>
          <w:b/>
          <w:color w:val="000000"/>
        </w:rPr>
        <w:t xml:space="preserve">По подразделу 0104 «Функционирование местных администраций» </w:t>
      </w:r>
      <w:r w:rsidRPr="00AF1C74">
        <w:rPr>
          <w:color w:val="000000"/>
        </w:rPr>
        <w:t xml:space="preserve">объем расходов на содержание администрации в </w:t>
      </w:r>
      <w:r w:rsidR="000E76FA">
        <w:rPr>
          <w:color w:val="000000"/>
        </w:rPr>
        <w:t>2023</w:t>
      </w:r>
      <w:r>
        <w:rPr>
          <w:color w:val="000000"/>
        </w:rPr>
        <w:t xml:space="preserve"> </w:t>
      </w:r>
      <w:r w:rsidRPr="00AF1C74">
        <w:rPr>
          <w:color w:val="000000"/>
        </w:rPr>
        <w:t>год</w:t>
      </w:r>
      <w:r>
        <w:rPr>
          <w:color w:val="000000"/>
        </w:rPr>
        <w:t>у</w:t>
      </w:r>
      <w:r w:rsidRPr="00AF1C74">
        <w:rPr>
          <w:color w:val="000000"/>
        </w:rPr>
        <w:t xml:space="preserve"> предусмотрен в сумме </w:t>
      </w:r>
      <w:r w:rsidR="00AB5DA8">
        <w:rPr>
          <w:color w:val="000000"/>
        </w:rPr>
        <w:t>4271,8/</w:t>
      </w:r>
      <w:r w:rsidRPr="00AF1C74">
        <w:rPr>
          <w:color w:val="000000"/>
        </w:rPr>
        <w:t xml:space="preserve">тыс. рублей, что составит </w:t>
      </w:r>
      <w:r w:rsidR="00AB5DA8">
        <w:rPr>
          <w:color w:val="000000"/>
        </w:rPr>
        <w:t>95,</w:t>
      </w:r>
      <w:r w:rsidR="00D9234C">
        <w:rPr>
          <w:color w:val="000000"/>
        </w:rPr>
        <w:t>4</w:t>
      </w:r>
      <w:r w:rsidRPr="00AF1C74">
        <w:rPr>
          <w:color w:val="000000"/>
        </w:rPr>
        <w:t xml:space="preserve">% к ожидаемому исполнению </w:t>
      </w:r>
      <w:r>
        <w:rPr>
          <w:color w:val="000000"/>
        </w:rPr>
        <w:t>202</w:t>
      </w:r>
      <w:r w:rsidR="00AB5DA8">
        <w:rPr>
          <w:color w:val="000000"/>
        </w:rPr>
        <w:t>2</w:t>
      </w:r>
      <w:r w:rsidRPr="00AF1C74">
        <w:rPr>
          <w:color w:val="000000"/>
        </w:rPr>
        <w:t xml:space="preserve"> года, в том</w:t>
      </w:r>
      <w:r w:rsidRPr="00AF1C74">
        <w:rPr>
          <w:color w:val="FF0000"/>
        </w:rPr>
        <w:t xml:space="preserve"> </w:t>
      </w:r>
      <w:r w:rsidRPr="00AF1C74">
        <w:rPr>
          <w:color w:val="000000"/>
        </w:rPr>
        <w:t xml:space="preserve">числе на заработную плату труда и начисления на оплату труда планируется направить </w:t>
      </w:r>
      <w:r w:rsidR="00AB5DA8">
        <w:rPr>
          <w:color w:val="000000"/>
        </w:rPr>
        <w:t>3959</w:t>
      </w:r>
      <w:r w:rsidRPr="00AF1C74">
        <w:rPr>
          <w:color w:val="000000"/>
        </w:rPr>
        <w:t xml:space="preserve"> тыс. рублей</w:t>
      </w:r>
      <w:r w:rsidRPr="00AF1C74">
        <w:t>, на</w:t>
      </w:r>
      <w:r w:rsidRPr="00AF1C74">
        <w:rPr>
          <w:color w:val="FF0000"/>
        </w:rPr>
        <w:t xml:space="preserve"> </w:t>
      </w:r>
      <w:r w:rsidRPr="00AF1C74">
        <w:rPr>
          <w:color w:val="000000"/>
        </w:rPr>
        <w:t xml:space="preserve">закупку товаров, работ и услуг – </w:t>
      </w:r>
      <w:r w:rsidR="00AB5DA8">
        <w:rPr>
          <w:color w:val="000000"/>
        </w:rPr>
        <w:t>302</w:t>
      </w:r>
      <w:r w:rsidRPr="00AF1C74">
        <w:rPr>
          <w:color w:val="000000"/>
        </w:rPr>
        <w:t xml:space="preserve"> тыс. рублей</w:t>
      </w:r>
      <w:r>
        <w:rPr>
          <w:color w:val="000000"/>
        </w:rPr>
        <w:t xml:space="preserve">. </w:t>
      </w:r>
      <w:r w:rsidRPr="00AF1C74">
        <w:rPr>
          <w:color w:val="000000"/>
        </w:rPr>
        <w:t xml:space="preserve">Удельный вес расходов по подразделу в общем объеме расходов бюджета составит </w:t>
      </w:r>
      <w:r w:rsidR="009650A6">
        <w:rPr>
          <w:color w:val="000000"/>
        </w:rPr>
        <w:t>28,6</w:t>
      </w:r>
      <w:r w:rsidR="00D9234C">
        <w:rPr>
          <w:color w:val="000000"/>
        </w:rPr>
        <w:t>%</w:t>
      </w:r>
      <w:r w:rsidRPr="00AF1C74">
        <w:t>. Согласно пояснительной записке расходы на зар</w:t>
      </w:r>
      <w:r>
        <w:t xml:space="preserve">аботную плату </w:t>
      </w:r>
      <w:r w:rsidR="00173F8B">
        <w:t xml:space="preserve">работников администрации </w:t>
      </w:r>
      <w:r>
        <w:t xml:space="preserve">предусмотрены на </w:t>
      </w:r>
      <w:r w:rsidR="00173F8B">
        <w:t>9</w:t>
      </w:r>
      <w:r w:rsidRPr="00AF1C74">
        <w:t xml:space="preserve"> месяцев</w:t>
      </w:r>
      <w:r w:rsidR="00173F8B">
        <w:t xml:space="preserve"> с учетом повышения заработной платы на 25%</w:t>
      </w:r>
      <w:r w:rsidRPr="00AF1C74">
        <w:t xml:space="preserve">. </w:t>
      </w:r>
      <w:r>
        <w:t xml:space="preserve"> В составе расходов на закупку товаров, работ и услуг для муниципальных нужд предусмотрено расходы на услу</w:t>
      </w:r>
      <w:r w:rsidR="00D9234C">
        <w:t>ги связи, коммунальные услуги</w:t>
      </w:r>
      <w:r>
        <w:t xml:space="preserve">, услуги по содержанию имущества, приобретение ГСМ, прочие расходы. </w:t>
      </w:r>
    </w:p>
    <w:p w14:paraId="604C6A3A" w14:textId="46476FCF" w:rsidR="008A5935" w:rsidRDefault="00EF06BA" w:rsidP="00F01DB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>По данному подразделу запланированы бюджетные ассигнования по 2 тыс.руб. ежегодно на реализацию муниципальной программы «Профилактика наркомании, алкоголизма и их социальных последствий на территории Каразейского муниципального образования на</w:t>
      </w:r>
      <w:r w:rsidRPr="00EF06BA">
        <w:t xml:space="preserve"> 2020-2025 </w:t>
      </w:r>
      <w:r>
        <w:t xml:space="preserve">годы», утвержденной постановлением администрации от </w:t>
      </w:r>
      <w:r w:rsidRPr="00EF06BA">
        <w:t>14.10.2019 № 46</w:t>
      </w:r>
      <w:r>
        <w:t xml:space="preserve">. </w:t>
      </w:r>
      <w:r w:rsidRPr="00C43ACF">
        <w:rPr>
          <w:b/>
          <w:bCs/>
        </w:rPr>
        <w:t xml:space="preserve">Однако, согласно правилам формирования и применения кодов бюджетной классификации, утвержденным приказом Минфина России </w:t>
      </w:r>
      <w:r w:rsidR="00F01DBC" w:rsidRPr="00C43ACF">
        <w:rPr>
          <w:b/>
          <w:bCs/>
        </w:rPr>
        <w:t>от 24.05.2022</w:t>
      </w:r>
      <w:r w:rsidRPr="00C43ACF">
        <w:rPr>
          <w:b/>
          <w:bCs/>
        </w:rPr>
        <w:t xml:space="preserve"> № 82н</w:t>
      </w:r>
      <w:r w:rsidR="00F01DBC" w:rsidRPr="00C43ACF">
        <w:rPr>
          <w:b/>
          <w:bCs/>
        </w:rPr>
        <w:t>, по подразделу 0104 подлежат отражению расходы на обеспечение деятельности местной администрации (оплата труда работников администрации, содержание имущества администрации, услуги для функционирования органа местного самоуправления). В</w:t>
      </w:r>
      <w:r w:rsidR="00C43ACF">
        <w:rPr>
          <w:b/>
          <w:bCs/>
        </w:rPr>
        <w:t>се</w:t>
      </w:r>
      <w:r w:rsidR="00F01DBC" w:rsidRPr="00C43ACF">
        <w:rPr>
          <w:b/>
          <w:bCs/>
        </w:rPr>
        <w:t xml:space="preserve"> остальные расходы классифицируются, исходя из их экономического содержания и относятся на соответствующие разделы, подразделы бюджетной классификации</w:t>
      </w:r>
      <w:r w:rsidR="00F01DBC">
        <w:t>.</w:t>
      </w:r>
      <w:r w:rsidR="00C43ACF" w:rsidRPr="00C43ACF">
        <w:t xml:space="preserve"> Обязанности по профилактике правонарушений, противодействию потреблению наркотических средств, психотропных веществ и их незаконному обороту </w:t>
      </w:r>
      <w:r w:rsidR="00C43ACF">
        <w:t>закреплены</w:t>
      </w:r>
      <w:r w:rsidR="00C43ACF" w:rsidRPr="00C43ACF">
        <w:t xml:space="preserve"> п.2 ст.4 Федерального закона от 8 января 1998 г. N 3-ФЗ "О наркотических средствах и психотропных веществах"</w:t>
      </w:r>
      <w:r w:rsidR="00C43ACF">
        <w:t xml:space="preserve">. Согласно паспорта МП администрация планировала проводить профилактику, в частности, с помощью распространения буклетов. </w:t>
      </w:r>
      <w:r w:rsidR="00C43ACF" w:rsidRPr="00C43ACF">
        <w:rPr>
          <w:b/>
          <w:bCs/>
        </w:rPr>
        <w:t>Данное мероприятие не связано с функционированием администрации, поэтому не может быть отнесено на подраздел 0104</w:t>
      </w:r>
      <w:r w:rsidR="00C43ACF">
        <w:t xml:space="preserve">. Также необходимо отметить, что паспортом программы предусмотрен объем средств на все пять лет реализации программы 2020-2025годы в общей сумме всего 2тыс.руб., а проектом бюджета предлагается к утверждению на каждый год по 2 тыс.руб. </w:t>
      </w:r>
      <w:r w:rsidR="001F5D3B">
        <w:t xml:space="preserve">Кроме того, согласно паспорта </w:t>
      </w:r>
      <w:r w:rsidR="001F5D3B">
        <w:lastRenderedPageBreak/>
        <w:t>МП, программа должна финансироваться исключительно спонсорскими средствами, а не средствами местного бюджета. А поскольку в доходной части бюджета не прогнозируется поступление спонсорской помощи, то и в расходной части предусматривать финансирование мероприятий МП нет оснований. Таким образом, о</w:t>
      </w:r>
      <w:r w:rsidR="001F5D3B" w:rsidRPr="001F5D3B">
        <w:rPr>
          <w:b/>
          <w:bCs/>
        </w:rPr>
        <w:t>бъемы ресурсного обеспечения реализации муниципальной программы</w:t>
      </w:r>
      <w:r w:rsidR="001F5D3B">
        <w:rPr>
          <w:b/>
          <w:bCs/>
        </w:rPr>
        <w:t>, утвержденного нормативным актом местной администрации,</w:t>
      </w:r>
      <w:r w:rsidR="001F5D3B" w:rsidRPr="001F5D3B">
        <w:rPr>
          <w:b/>
          <w:bCs/>
        </w:rPr>
        <w:t xml:space="preserve"> на </w:t>
      </w:r>
      <w:r w:rsidR="001F5D3B">
        <w:rPr>
          <w:b/>
          <w:bCs/>
        </w:rPr>
        <w:t>весь трехлетний период</w:t>
      </w:r>
      <w:r w:rsidR="001F5D3B" w:rsidRPr="001F5D3B">
        <w:rPr>
          <w:b/>
          <w:bCs/>
        </w:rPr>
        <w:t xml:space="preserve"> не соответствуют проекту решения о бюджете. Следовательно, данная муниципальная программа должна быть приведена в соответствие решению о бюджете не позднее трех месяцев со дня вступления его в силу</w:t>
      </w:r>
      <w:r w:rsidR="001F780E">
        <w:rPr>
          <w:b/>
          <w:bCs/>
        </w:rPr>
        <w:t xml:space="preserve">, либо </w:t>
      </w:r>
      <w:r w:rsidR="008A5935">
        <w:rPr>
          <w:b/>
          <w:bCs/>
        </w:rPr>
        <w:t xml:space="preserve">следует </w:t>
      </w:r>
      <w:r w:rsidR="001F780E">
        <w:rPr>
          <w:b/>
          <w:bCs/>
        </w:rPr>
        <w:t>исключить данные бюджетные ассигнования из проекта бюджета.</w:t>
      </w:r>
      <w:r w:rsidR="001F5D3B">
        <w:rPr>
          <w:b/>
          <w:bCs/>
        </w:rPr>
        <w:t xml:space="preserve"> </w:t>
      </w:r>
    </w:p>
    <w:p w14:paraId="5D7DBA69" w14:textId="0E9ED215" w:rsidR="00F01DBC" w:rsidRPr="001F780E" w:rsidRDefault="001F5D3B" w:rsidP="00F01DBC">
      <w:pPr>
        <w:autoSpaceDE w:val="0"/>
        <w:autoSpaceDN w:val="0"/>
        <w:adjustRightInd w:val="0"/>
        <w:ind w:firstLine="567"/>
        <w:jc w:val="both"/>
      </w:pPr>
      <w:r w:rsidRPr="001F5D3B">
        <w:t>Администрацией поселения</w:t>
      </w:r>
      <w:r>
        <w:rPr>
          <w:b/>
          <w:bCs/>
        </w:rPr>
        <w:t xml:space="preserve"> </w:t>
      </w:r>
      <w:r w:rsidRPr="001F780E">
        <w:t xml:space="preserve">при формировании </w:t>
      </w:r>
      <w:r w:rsidR="008A5935">
        <w:t xml:space="preserve">предыдущего </w:t>
      </w:r>
      <w:r w:rsidRPr="001F780E">
        <w:t>проекта бюджета на 2022год и плановый период 2023-2024годов также были предусмотрены бюджетные ас</w:t>
      </w:r>
      <w:r w:rsidR="001F780E" w:rsidRPr="001F780E">
        <w:t>с</w:t>
      </w:r>
      <w:r w:rsidRPr="001F780E">
        <w:t xml:space="preserve">игнования на реализацию мероприятий МП </w:t>
      </w:r>
      <w:r w:rsidR="001F780E" w:rsidRPr="001F780E">
        <w:t>«Профилактика наркомании, алкоголизма и их социальных последствий на территории Каразейского муниципального образования на 2020-2025 годы»</w:t>
      </w:r>
      <w:r w:rsidR="001F780E">
        <w:t xml:space="preserve"> по 2 тыс. руб. ежегодно, однако, данные расходы так и остались на стадии проекта. В дальнейшем указанные бюджетные ассигнования решением Думы не утверждались и, соответственно, не исполнялись. </w:t>
      </w:r>
    </w:p>
    <w:p w14:paraId="31F3FFAC" w14:textId="4EEFB849" w:rsidR="00D80372" w:rsidRPr="00F703D4" w:rsidRDefault="00F01DBC" w:rsidP="00F01DB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01DBC">
        <w:rPr>
          <w:b/>
        </w:rPr>
        <w:t xml:space="preserve"> </w:t>
      </w:r>
      <w:r w:rsidR="00D80372" w:rsidRPr="00F703D4">
        <w:rPr>
          <w:color w:val="000000"/>
        </w:rPr>
        <w:t xml:space="preserve">Расходы по </w:t>
      </w:r>
      <w:r w:rsidR="00D80372" w:rsidRPr="00F703D4">
        <w:rPr>
          <w:b/>
          <w:bCs/>
          <w:color w:val="000000"/>
        </w:rPr>
        <w:t xml:space="preserve">подразделу 0111 «Резервные фонды» </w:t>
      </w:r>
      <w:r w:rsidR="00D80372" w:rsidRPr="00F703D4">
        <w:rPr>
          <w:color w:val="000000"/>
        </w:rPr>
        <w:t xml:space="preserve">сформированы </w:t>
      </w:r>
      <w:r w:rsidR="00D80372">
        <w:rPr>
          <w:color w:val="000000"/>
        </w:rPr>
        <w:t xml:space="preserve">на каждый год трехлетнего периода </w:t>
      </w:r>
      <w:r w:rsidR="00D80372" w:rsidRPr="00F703D4">
        <w:rPr>
          <w:color w:val="000000"/>
        </w:rPr>
        <w:t>в сумме по</w:t>
      </w:r>
      <w:r w:rsidR="00D80372">
        <w:rPr>
          <w:color w:val="000000"/>
        </w:rPr>
        <w:t xml:space="preserve"> 10</w:t>
      </w:r>
      <w:r w:rsidR="00D80372" w:rsidRPr="00F703D4">
        <w:rPr>
          <w:color w:val="000000"/>
        </w:rPr>
        <w:t>тыс. рублей, что составляет по 0,</w:t>
      </w:r>
      <w:r w:rsidR="00D80372">
        <w:rPr>
          <w:color w:val="000000"/>
        </w:rPr>
        <w:t>1</w:t>
      </w:r>
      <w:r w:rsidR="00D80372" w:rsidRPr="00F703D4">
        <w:rPr>
          <w:color w:val="000000"/>
        </w:rPr>
        <w:t>% от всех расходов бюджета поселения и не превышает норматив, установленный ст. 81 БК РФ</w:t>
      </w:r>
      <w:r w:rsidR="00D80372">
        <w:rPr>
          <w:color w:val="000000"/>
        </w:rPr>
        <w:t xml:space="preserve"> (3%)</w:t>
      </w:r>
      <w:r w:rsidR="00D80372" w:rsidRPr="00F703D4">
        <w:rPr>
          <w:color w:val="000000"/>
        </w:rPr>
        <w:t>.</w:t>
      </w:r>
    </w:p>
    <w:p w14:paraId="78A43BC8" w14:textId="174CE90B" w:rsidR="00D80372" w:rsidRPr="001770CA" w:rsidRDefault="00D80372" w:rsidP="00D80372">
      <w:pPr>
        <w:ind w:firstLine="567"/>
        <w:jc w:val="both"/>
      </w:pPr>
      <w:r w:rsidRPr="001770CA">
        <w:t xml:space="preserve">Расходы по </w:t>
      </w:r>
      <w:r w:rsidRPr="001770CA">
        <w:rPr>
          <w:b/>
          <w:bCs/>
        </w:rPr>
        <w:t xml:space="preserve">подразделу 0113 «Другие общегосударственные вопросы» </w:t>
      </w:r>
      <w:r w:rsidRPr="0011428E">
        <w:rPr>
          <w:bCs/>
        </w:rPr>
        <w:t xml:space="preserve">на плановый период </w:t>
      </w:r>
      <w:r w:rsidR="001F780E">
        <w:rPr>
          <w:bCs/>
        </w:rPr>
        <w:t xml:space="preserve">2023-2025гг. </w:t>
      </w:r>
      <w:r w:rsidRPr="0011428E">
        <w:rPr>
          <w:bCs/>
        </w:rPr>
        <w:t>сформированы в сумме по 0,7 тыс. рублей ежегодно</w:t>
      </w:r>
      <w:r w:rsidRPr="001770CA">
        <w:t xml:space="preserve"> за счет средств областного бюджета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правонарушениях.</w:t>
      </w:r>
      <w:r>
        <w:t xml:space="preserve"> </w:t>
      </w:r>
    </w:p>
    <w:p w14:paraId="4F9659D9" w14:textId="77777777" w:rsidR="00D80372" w:rsidRPr="001770CA" w:rsidRDefault="00D80372" w:rsidP="00D80372">
      <w:pPr>
        <w:ind w:firstLine="540"/>
        <w:jc w:val="both"/>
      </w:pPr>
    </w:p>
    <w:p w14:paraId="5601ACC7" w14:textId="77777777" w:rsidR="00D80372" w:rsidRPr="004846BB" w:rsidRDefault="00D80372" w:rsidP="00D80372">
      <w:pPr>
        <w:ind w:firstLine="180"/>
        <w:jc w:val="center"/>
        <w:rPr>
          <w:b/>
          <w:color w:val="000000"/>
          <w:u w:val="single"/>
        </w:rPr>
      </w:pPr>
      <w:r w:rsidRPr="004846BB">
        <w:rPr>
          <w:b/>
          <w:color w:val="000000"/>
          <w:u w:val="single"/>
        </w:rPr>
        <w:t>Раздел 02 «Национальная оборона»</w:t>
      </w:r>
    </w:p>
    <w:p w14:paraId="194E2B0F" w14:textId="77777777" w:rsidR="00D80372" w:rsidRDefault="00D80372" w:rsidP="00D8037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846BB">
        <w:rPr>
          <w:color w:val="000000"/>
        </w:rPr>
        <w:t xml:space="preserve">В данном разделе предусмотрены ассигнования </w:t>
      </w:r>
      <w:r w:rsidRPr="004846BB">
        <w:rPr>
          <w:b/>
          <w:color w:val="000000"/>
        </w:rPr>
        <w:t>по подразделу</w:t>
      </w:r>
      <w:r w:rsidRPr="004846BB">
        <w:rPr>
          <w:color w:val="000000"/>
        </w:rPr>
        <w:t xml:space="preserve"> </w:t>
      </w:r>
      <w:r w:rsidRPr="004846BB">
        <w:rPr>
          <w:b/>
          <w:color w:val="000000"/>
        </w:rPr>
        <w:t xml:space="preserve">0203 «Мобилизационная и вневойсковая подготовка» </w:t>
      </w:r>
      <w:r w:rsidRPr="004846BB">
        <w:rPr>
          <w:color w:val="000000"/>
        </w:rPr>
        <w:t xml:space="preserve">(расходы за счет средств федерального бюджета на осуществление первичного воинского учета). </w:t>
      </w:r>
    </w:p>
    <w:p w14:paraId="66D68CFA" w14:textId="001D6F9B" w:rsidR="00992FEB" w:rsidRDefault="00992FEB" w:rsidP="00FA4523">
      <w:pPr>
        <w:ind w:firstLine="567"/>
        <w:jc w:val="both"/>
      </w:pPr>
      <w:r>
        <w:t>Согласно оценке ожидаемого исполнения бюджета поселения в 202</w:t>
      </w:r>
      <w:r w:rsidR="001F780E">
        <w:t>2</w:t>
      </w:r>
      <w:r>
        <w:t xml:space="preserve"> году по подразделу 0203 расходы составят </w:t>
      </w:r>
      <w:r w:rsidR="001F780E">
        <w:t>151,6</w:t>
      </w:r>
      <w:r>
        <w:t xml:space="preserve"> тыс. рублей. На </w:t>
      </w:r>
      <w:r w:rsidR="000E76FA">
        <w:t>2023</w:t>
      </w:r>
      <w:r>
        <w:t xml:space="preserve"> год проектом бюджета аналогичные расходы предусмотрены в сумме </w:t>
      </w:r>
      <w:r w:rsidR="001F780E">
        <w:t>173,7</w:t>
      </w:r>
      <w:r>
        <w:t xml:space="preserve"> тыс. руб., что составит </w:t>
      </w:r>
      <w:r w:rsidR="001F780E">
        <w:t>114,6</w:t>
      </w:r>
      <w:r>
        <w:t>% к оценке исполнения 202</w:t>
      </w:r>
      <w:r w:rsidR="001F780E">
        <w:t>2</w:t>
      </w:r>
      <w:r>
        <w:t xml:space="preserve"> года и 1,2% от общего объема планируемых расходов. Расходы предусмотрены на оплату труда специалиста ВУС в сумме </w:t>
      </w:r>
      <w:r w:rsidR="00905146">
        <w:t>1</w:t>
      </w:r>
      <w:r w:rsidR="00FA4523">
        <w:t>6</w:t>
      </w:r>
      <w:r w:rsidR="00905146">
        <w:t>1,1 тыс. руб., на закупку товаров, работ и услуг – 12,</w:t>
      </w:r>
      <w:r w:rsidR="00FA4523">
        <w:t>6</w:t>
      </w:r>
      <w:r w:rsidR="00905146">
        <w:t xml:space="preserve"> тыс. руб.</w:t>
      </w:r>
    </w:p>
    <w:p w14:paraId="10B4CC2D" w14:textId="66EE63EB" w:rsidR="00905146" w:rsidRDefault="00FA4523" w:rsidP="00FA4523">
      <w:pPr>
        <w:ind w:firstLine="426"/>
        <w:jc w:val="both"/>
      </w:pPr>
      <w:r w:rsidRPr="00FA4523">
        <w:t>На плановый период 202</w:t>
      </w:r>
      <w:r>
        <w:t>4</w:t>
      </w:r>
      <w:r w:rsidRPr="00FA4523">
        <w:t xml:space="preserve">г. расходы по данному подразделу планируются в сумме </w:t>
      </w:r>
      <w:r>
        <w:t>182</w:t>
      </w:r>
      <w:r w:rsidRPr="00FA4523">
        <w:t>тыс.руб., что выше уровня 202</w:t>
      </w:r>
      <w:r>
        <w:t>3</w:t>
      </w:r>
      <w:r w:rsidRPr="00FA4523">
        <w:t xml:space="preserve"> года на </w:t>
      </w:r>
      <w:r>
        <w:t>4,8</w:t>
      </w:r>
      <w:r w:rsidRPr="00FA4523">
        <w:t>%. На 202</w:t>
      </w:r>
      <w:r>
        <w:t>5</w:t>
      </w:r>
      <w:r w:rsidRPr="00FA4523">
        <w:t>г. выше еще на 3,</w:t>
      </w:r>
      <w:r>
        <w:t>7</w:t>
      </w:r>
      <w:r w:rsidRPr="00FA4523">
        <w:t>%, или в сумме 1</w:t>
      </w:r>
      <w:r>
        <w:t>88,8</w:t>
      </w:r>
      <w:r w:rsidRPr="00FA4523">
        <w:t>тыс.руб., но также в объеме планируемой к предоставлению субвенции на осуществление воинского учета на основании проекта закона Иркутской области «Об областном бюджете на 202</w:t>
      </w:r>
      <w:r>
        <w:t>3</w:t>
      </w:r>
      <w:r w:rsidRPr="00FA4523">
        <w:t xml:space="preserve"> год и плановый период 202</w:t>
      </w:r>
      <w:r>
        <w:t>4</w:t>
      </w:r>
      <w:r w:rsidRPr="00FA4523">
        <w:t xml:space="preserve"> и 202</w:t>
      </w:r>
      <w:r>
        <w:t>5</w:t>
      </w:r>
      <w:r w:rsidRPr="00FA4523">
        <w:t>годов».</w:t>
      </w:r>
    </w:p>
    <w:p w14:paraId="402D1616" w14:textId="77777777" w:rsidR="00FA4523" w:rsidRDefault="00FA4523" w:rsidP="00D80372">
      <w:pPr>
        <w:ind w:firstLine="180"/>
        <w:jc w:val="center"/>
        <w:rPr>
          <w:b/>
          <w:u w:val="single"/>
        </w:rPr>
      </w:pPr>
    </w:p>
    <w:p w14:paraId="03098FDA" w14:textId="77777777" w:rsidR="00D80372" w:rsidRPr="00F64805" w:rsidRDefault="00D80372" w:rsidP="00D80372">
      <w:pPr>
        <w:ind w:firstLine="180"/>
        <w:jc w:val="center"/>
        <w:rPr>
          <w:b/>
          <w:u w:val="single"/>
        </w:rPr>
      </w:pPr>
      <w:r w:rsidRPr="00F64805">
        <w:rPr>
          <w:b/>
          <w:u w:val="single"/>
        </w:rPr>
        <w:t>Раздел 03 «Национальная безопасность и правоохранительная деятельность»</w:t>
      </w:r>
    </w:p>
    <w:p w14:paraId="20E045D6" w14:textId="3A50FEB4" w:rsidR="0056224D" w:rsidRDefault="00FA4523" w:rsidP="00D80372">
      <w:pPr>
        <w:autoSpaceDE w:val="0"/>
        <w:autoSpaceDN w:val="0"/>
        <w:adjustRightInd w:val="0"/>
        <w:ind w:firstLine="539"/>
        <w:jc w:val="both"/>
      </w:pPr>
      <w:r w:rsidRPr="00FA4523">
        <w:t>Проектом бюджета бюджетные ассигнования предусмотрены по подразделу 0310 «Защита населения и территории от чрезвычайных ситуаций природного и техногенного характера, пожарная безопасность» на 202</w:t>
      </w:r>
      <w:r>
        <w:t>3</w:t>
      </w:r>
      <w:r w:rsidRPr="00FA4523">
        <w:t xml:space="preserve"> год в сумме </w:t>
      </w:r>
      <w:r>
        <w:t>30</w:t>
      </w:r>
      <w:r w:rsidRPr="00FA4523">
        <w:t xml:space="preserve"> тыс. руб., на 202</w:t>
      </w:r>
      <w:r>
        <w:t>4</w:t>
      </w:r>
      <w:r w:rsidRPr="00FA4523">
        <w:t>-202</w:t>
      </w:r>
      <w:r>
        <w:t>5</w:t>
      </w:r>
      <w:r w:rsidRPr="00FA4523">
        <w:t xml:space="preserve"> годы в сумме по </w:t>
      </w:r>
      <w:r>
        <w:t>20</w:t>
      </w:r>
      <w:r w:rsidRPr="00FA4523">
        <w:t xml:space="preserve"> тыс. руб. ежегодно на оплату договора по опахиванию </w:t>
      </w:r>
      <w:r>
        <w:t>границ села</w:t>
      </w:r>
      <w:r w:rsidRPr="00FA4523">
        <w:t xml:space="preserve"> </w:t>
      </w:r>
      <w:r>
        <w:t xml:space="preserve">для создания </w:t>
      </w:r>
      <w:r w:rsidRPr="00FA4523">
        <w:t>минерализованн</w:t>
      </w:r>
      <w:r>
        <w:t>ой</w:t>
      </w:r>
      <w:r w:rsidRPr="00FA4523">
        <w:t xml:space="preserve"> полосы.  В 202</w:t>
      </w:r>
      <w:r w:rsidR="008B6404">
        <w:t>2</w:t>
      </w:r>
      <w:r w:rsidRPr="00FA4523">
        <w:t xml:space="preserve"> году </w:t>
      </w:r>
      <w:r w:rsidR="008B6404">
        <w:t xml:space="preserve">ожидаемое </w:t>
      </w:r>
      <w:r w:rsidRPr="00FA4523">
        <w:t xml:space="preserve">исполнение </w:t>
      </w:r>
      <w:r w:rsidR="008B6404">
        <w:t>по данным мероприятиям 40</w:t>
      </w:r>
      <w:r w:rsidRPr="00FA4523">
        <w:t xml:space="preserve">тыс.руб. </w:t>
      </w:r>
    </w:p>
    <w:p w14:paraId="56E3D997" w14:textId="77777777" w:rsidR="0056224D" w:rsidRDefault="0056224D" w:rsidP="00D80372">
      <w:pPr>
        <w:pStyle w:val="a9"/>
        <w:spacing w:after="0"/>
        <w:ind w:left="360"/>
        <w:jc w:val="center"/>
        <w:rPr>
          <w:b/>
          <w:color w:val="000000"/>
          <w:u w:val="single"/>
        </w:rPr>
      </w:pPr>
    </w:p>
    <w:p w14:paraId="7E1F6532" w14:textId="77777777" w:rsidR="00D80372" w:rsidRPr="001F2B5C" w:rsidRDefault="00D80372" w:rsidP="00D80372">
      <w:pPr>
        <w:pStyle w:val="a9"/>
        <w:spacing w:after="0"/>
        <w:ind w:left="360"/>
        <w:jc w:val="center"/>
        <w:rPr>
          <w:b/>
          <w:color w:val="000000"/>
          <w:u w:val="single"/>
        </w:rPr>
      </w:pPr>
      <w:r w:rsidRPr="001F2B5C">
        <w:rPr>
          <w:b/>
          <w:color w:val="000000"/>
          <w:u w:val="single"/>
        </w:rPr>
        <w:t>Раздел 04 «Национальная экономика»</w:t>
      </w:r>
    </w:p>
    <w:p w14:paraId="157A2C39" w14:textId="0AD8034C" w:rsidR="00DC5E8A" w:rsidRDefault="008B6404" w:rsidP="00D80372">
      <w:pPr>
        <w:autoSpaceDE w:val="0"/>
        <w:autoSpaceDN w:val="0"/>
        <w:adjustRightInd w:val="0"/>
        <w:ind w:firstLine="540"/>
        <w:jc w:val="both"/>
      </w:pPr>
      <w:r w:rsidRPr="008B6404">
        <w:t xml:space="preserve">Расходы по данному разделу сформированы </w:t>
      </w:r>
      <w:r>
        <w:t>из средств областной субвенции</w:t>
      </w:r>
      <w:r w:rsidRPr="008B6404">
        <w:t xml:space="preserve"> </w:t>
      </w:r>
      <w:r>
        <w:t xml:space="preserve">на </w:t>
      </w:r>
      <w:r w:rsidRPr="008B6404">
        <w:t>осущ</w:t>
      </w:r>
      <w:r>
        <w:t>ествление</w:t>
      </w:r>
      <w:r w:rsidRPr="008B6404">
        <w:t xml:space="preserve"> </w:t>
      </w:r>
      <w:r>
        <w:t>о</w:t>
      </w:r>
      <w:r w:rsidRPr="008B6404">
        <w:t xml:space="preserve">тдельных областных государственных полномочий в сфере </w:t>
      </w:r>
      <w:r w:rsidRPr="008B6404">
        <w:lastRenderedPageBreak/>
        <w:t>водоснабжения и водоотведения</w:t>
      </w:r>
      <w:r>
        <w:t xml:space="preserve"> по подразделу 0401 «Общеэкономические вопросы» и </w:t>
      </w:r>
      <w:r w:rsidRPr="008B6404">
        <w:t xml:space="preserve">из средств муниципального дорожного фонда по подразделу 0409 «Дорожное хозяйство». </w:t>
      </w:r>
      <w:r w:rsidR="00DC5E8A">
        <w:t xml:space="preserve">Удельный вес расходов на национальную экономику в общем объеме  расходов бюджета поселения в </w:t>
      </w:r>
      <w:r w:rsidR="000E76FA">
        <w:t>2023</w:t>
      </w:r>
      <w:r w:rsidR="00DC5E8A">
        <w:t xml:space="preserve"> году составляет </w:t>
      </w:r>
      <w:r>
        <w:t>8,3</w:t>
      </w:r>
      <w:r w:rsidR="00DC5E8A">
        <w:t xml:space="preserve">%, в </w:t>
      </w:r>
      <w:r w:rsidR="000E76FA">
        <w:t>2024</w:t>
      </w:r>
      <w:r w:rsidR="00DC5E8A">
        <w:t xml:space="preserve"> году – </w:t>
      </w:r>
      <w:r>
        <w:t>10,5</w:t>
      </w:r>
      <w:r w:rsidR="00DC5E8A">
        <w:t xml:space="preserve">%, в </w:t>
      </w:r>
      <w:r w:rsidR="000E76FA">
        <w:t>2025</w:t>
      </w:r>
      <w:r w:rsidR="00DC5E8A">
        <w:t xml:space="preserve"> году – </w:t>
      </w:r>
      <w:r>
        <w:t>10,4</w:t>
      </w:r>
      <w:r w:rsidR="00DC5E8A">
        <w:t>%.</w:t>
      </w:r>
    </w:p>
    <w:p w14:paraId="0AFF4055" w14:textId="77777777" w:rsidR="00D80372" w:rsidRDefault="00D80372" w:rsidP="00D80372">
      <w:pPr>
        <w:autoSpaceDE w:val="0"/>
        <w:autoSpaceDN w:val="0"/>
        <w:adjustRightInd w:val="0"/>
        <w:ind w:firstLine="540"/>
        <w:jc w:val="both"/>
      </w:pPr>
      <w:r>
        <w:t>В составе вышеуказанных ассигнований предусмотрены расходы:</w:t>
      </w:r>
    </w:p>
    <w:p w14:paraId="7D53A423" w14:textId="4642B400" w:rsidR="00D80372" w:rsidRDefault="00D80372" w:rsidP="00D8037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- </w:t>
      </w:r>
      <w:r>
        <w:rPr>
          <w:b/>
        </w:rPr>
        <w:t>по подразделу 0401 «Общеэкономические вопросы»</w:t>
      </w:r>
      <w:r w:rsidRPr="0013018F">
        <w:rPr>
          <w:color w:val="000000"/>
        </w:rPr>
        <w:t xml:space="preserve"> </w:t>
      </w:r>
      <w:r>
        <w:rPr>
          <w:color w:val="000000"/>
        </w:rPr>
        <w:t xml:space="preserve">расходы </w:t>
      </w:r>
      <w:r w:rsidRPr="0013018F">
        <w:rPr>
          <w:color w:val="000000"/>
        </w:rPr>
        <w:t xml:space="preserve">на осуществление отдельных госполномочий </w:t>
      </w:r>
      <w:r w:rsidR="008B6404" w:rsidRPr="008B6404">
        <w:rPr>
          <w:color w:val="000000"/>
        </w:rPr>
        <w:t xml:space="preserve">в сфере водоснабжения и водоотведения </w:t>
      </w:r>
      <w:r w:rsidRPr="0013018F">
        <w:rPr>
          <w:color w:val="000000"/>
        </w:rPr>
        <w:t xml:space="preserve">в </w:t>
      </w:r>
      <w:r>
        <w:rPr>
          <w:color w:val="000000"/>
        </w:rPr>
        <w:t>202</w:t>
      </w:r>
      <w:r w:rsidR="008B6404">
        <w:rPr>
          <w:color w:val="000000"/>
        </w:rPr>
        <w:t>2</w:t>
      </w:r>
      <w:r w:rsidRPr="0013018F">
        <w:rPr>
          <w:color w:val="000000"/>
        </w:rPr>
        <w:t xml:space="preserve">г. ожидаются </w:t>
      </w:r>
      <w:r>
        <w:rPr>
          <w:color w:val="000000"/>
        </w:rPr>
        <w:t xml:space="preserve">в объеме </w:t>
      </w:r>
      <w:r w:rsidR="008B6404">
        <w:rPr>
          <w:color w:val="000000"/>
        </w:rPr>
        <w:t>49,9</w:t>
      </w:r>
      <w:r w:rsidR="004B7319">
        <w:rPr>
          <w:color w:val="000000"/>
        </w:rPr>
        <w:t xml:space="preserve"> </w:t>
      </w:r>
      <w:r w:rsidRPr="0013018F">
        <w:rPr>
          <w:color w:val="000000"/>
        </w:rPr>
        <w:t>тыс. руб.</w:t>
      </w:r>
      <w:r>
        <w:rPr>
          <w:color w:val="000000"/>
        </w:rPr>
        <w:t xml:space="preserve"> Н</w:t>
      </w:r>
      <w:r w:rsidRPr="0013018F">
        <w:rPr>
          <w:color w:val="000000"/>
        </w:rPr>
        <w:t xml:space="preserve">а </w:t>
      </w:r>
      <w:r w:rsidR="000E76FA">
        <w:rPr>
          <w:color w:val="000000"/>
        </w:rPr>
        <w:t>2023</w:t>
      </w:r>
      <w:r w:rsidR="004B7319">
        <w:rPr>
          <w:color w:val="000000"/>
        </w:rPr>
        <w:t xml:space="preserve"> год и плановый период </w:t>
      </w:r>
      <w:r w:rsidR="000E76FA">
        <w:rPr>
          <w:color w:val="000000"/>
        </w:rPr>
        <w:t>2024</w:t>
      </w:r>
      <w:r w:rsidRPr="0013018F">
        <w:rPr>
          <w:color w:val="000000"/>
        </w:rPr>
        <w:t xml:space="preserve"> и </w:t>
      </w:r>
      <w:r w:rsidR="000E76FA">
        <w:rPr>
          <w:color w:val="000000"/>
        </w:rPr>
        <w:t>2025</w:t>
      </w:r>
      <w:r w:rsidRPr="0013018F">
        <w:rPr>
          <w:color w:val="000000"/>
        </w:rPr>
        <w:t xml:space="preserve">г. </w:t>
      </w:r>
      <w:r>
        <w:rPr>
          <w:color w:val="000000"/>
        </w:rPr>
        <w:t xml:space="preserve">указанные расходы </w:t>
      </w:r>
      <w:r w:rsidRPr="0013018F">
        <w:rPr>
          <w:color w:val="000000"/>
        </w:rPr>
        <w:t>прогнозируются в объеме</w:t>
      </w:r>
      <w:r>
        <w:rPr>
          <w:color w:val="000000"/>
        </w:rPr>
        <w:t xml:space="preserve"> по </w:t>
      </w:r>
      <w:r w:rsidR="008B6404">
        <w:rPr>
          <w:color w:val="000000"/>
        </w:rPr>
        <w:t>49,1</w:t>
      </w:r>
      <w:r w:rsidR="004B7319">
        <w:rPr>
          <w:color w:val="000000"/>
        </w:rPr>
        <w:t xml:space="preserve"> </w:t>
      </w:r>
      <w:r w:rsidRPr="0013018F">
        <w:rPr>
          <w:color w:val="000000"/>
        </w:rPr>
        <w:t>тыс. руб.</w:t>
      </w:r>
      <w:r>
        <w:rPr>
          <w:color w:val="000000"/>
        </w:rPr>
        <w:t xml:space="preserve"> ежегодно.</w:t>
      </w:r>
      <w:r w:rsidRPr="0013018F">
        <w:rPr>
          <w:color w:val="000000"/>
        </w:rPr>
        <w:t xml:space="preserve"> Расходы на выполнение госполномочий отражены в размере запланированной субвенции на эти цели</w:t>
      </w:r>
      <w:r>
        <w:rPr>
          <w:color w:val="000000"/>
        </w:rPr>
        <w:t xml:space="preserve"> </w:t>
      </w:r>
      <w:r w:rsidRPr="00DA12C6">
        <w:rPr>
          <w:color w:val="000000"/>
        </w:rPr>
        <w:t xml:space="preserve">на основании проекта закона Иркутской области «Об областном бюджете на </w:t>
      </w:r>
      <w:r w:rsidR="000E76FA">
        <w:rPr>
          <w:color w:val="000000"/>
        </w:rPr>
        <w:t>2023</w:t>
      </w:r>
      <w:r w:rsidRPr="00DA12C6">
        <w:rPr>
          <w:color w:val="000000"/>
        </w:rPr>
        <w:t xml:space="preserve"> год и плановый период </w:t>
      </w:r>
      <w:r w:rsidR="000E76FA">
        <w:rPr>
          <w:color w:val="000000"/>
        </w:rPr>
        <w:t>2024</w:t>
      </w:r>
      <w:r w:rsidRPr="00DA12C6">
        <w:rPr>
          <w:color w:val="000000"/>
        </w:rPr>
        <w:t xml:space="preserve"> и </w:t>
      </w:r>
      <w:r w:rsidR="000E76FA">
        <w:rPr>
          <w:color w:val="000000"/>
        </w:rPr>
        <w:t>2025</w:t>
      </w:r>
      <w:r w:rsidRPr="00DA12C6">
        <w:rPr>
          <w:color w:val="000000"/>
        </w:rPr>
        <w:t>годов».</w:t>
      </w:r>
    </w:p>
    <w:p w14:paraId="0CCCD9D0" w14:textId="2A4D2740" w:rsidR="00497B84" w:rsidRDefault="004B7319" w:rsidP="004B7319">
      <w:pPr>
        <w:ind w:firstLine="708"/>
        <w:jc w:val="both"/>
      </w:pPr>
      <w:r w:rsidRPr="00295D19">
        <w:t xml:space="preserve">- </w:t>
      </w:r>
      <w:r w:rsidRPr="00295D19">
        <w:rPr>
          <w:b/>
        </w:rPr>
        <w:t>по подразделу 0409 «Дорожное хозяйство»</w:t>
      </w:r>
      <w:r w:rsidRPr="00295D19">
        <w:t xml:space="preserve"> в соответствии с п. </w:t>
      </w:r>
      <w:r>
        <w:t>5</w:t>
      </w:r>
      <w:r w:rsidRPr="00295D19">
        <w:t xml:space="preserve"> ст. 179.4 БК РФ на исполнение расходных обязательств за счет бюджетных ассигнований Дорожного фонда </w:t>
      </w:r>
      <w:r w:rsidR="007E530A">
        <w:t>Каразейского</w:t>
      </w:r>
      <w:r w:rsidRPr="00295D19">
        <w:t xml:space="preserve"> МО предлагается направить в </w:t>
      </w:r>
      <w:r w:rsidR="000E76FA">
        <w:t>2023</w:t>
      </w:r>
      <w:r w:rsidR="007E530A">
        <w:t xml:space="preserve"> </w:t>
      </w:r>
      <w:r w:rsidRPr="00295D19">
        <w:t xml:space="preserve">году </w:t>
      </w:r>
      <w:r w:rsidR="007E530A">
        <w:t>11</w:t>
      </w:r>
      <w:r w:rsidR="00AF4B0C">
        <w:t>88,5</w:t>
      </w:r>
      <w:r w:rsidRPr="00295D19">
        <w:t xml:space="preserve"> тыс. руб.</w:t>
      </w:r>
      <w:r w:rsidRPr="00EC3EBD">
        <w:rPr>
          <w:color w:val="FF0000"/>
        </w:rPr>
        <w:t xml:space="preserve"> </w:t>
      </w:r>
      <w:r w:rsidRPr="00295D19">
        <w:t>Согласно оценке ожидаемого исполнения бюджета, в 20</w:t>
      </w:r>
      <w:r>
        <w:t>2</w:t>
      </w:r>
      <w:r w:rsidR="00AF4B0C">
        <w:t>2</w:t>
      </w:r>
      <w:r w:rsidRPr="00295D19">
        <w:t xml:space="preserve">г. на содержание автомобильных дорог местного значения будет направлено </w:t>
      </w:r>
      <w:r w:rsidR="00AF4B0C">
        <w:t>1742,5</w:t>
      </w:r>
      <w:r w:rsidRPr="00295D19">
        <w:t xml:space="preserve"> тыс. руб.</w:t>
      </w:r>
      <w:r w:rsidR="007E530A">
        <w:t xml:space="preserve"> </w:t>
      </w:r>
    </w:p>
    <w:p w14:paraId="29CCC739" w14:textId="03AF2531" w:rsidR="004B7319" w:rsidRDefault="007E530A" w:rsidP="004B7319">
      <w:pPr>
        <w:ind w:firstLine="708"/>
        <w:jc w:val="both"/>
      </w:pPr>
      <w:r>
        <w:t xml:space="preserve">На плановый период расходы по данному подразделу предлагается утвердить на </w:t>
      </w:r>
      <w:r w:rsidR="000E76FA">
        <w:t>2024</w:t>
      </w:r>
      <w:r>
        <w:t xml:space="preserve"> год – 1</w:t>
      </w:r>
      <w:r w:rsidR="00AF4B0C">
        <w:t>321</w:t>
      </w:r>
      <w:r>
        <w:t xml:space="preserve">,7 тыс. руб., на </w:t>
      </w:r>
      <w:r w:rsidR="000E76FA">
        <w:t>2025</w:t>
      </w:r>
      <w:r>
        <w:t xml:space="preserve"> год </w:t>
      </w:r>
      <w:r w:rsidR="00497B84">
        <w:t>–</w:t>
      </w:r>
      <w:r>
        <w:t xml:space="preserve"> </w:t>
      </w:r>
      <w:r w:rsidR="00AF4B0C">
        <w:t>1395,7</w:t>
      </w:r>
      <w:r w:rsidR="00497B84">
        <w:t xml:space="preserve"> тыс. руб.</w:t>
      </w:r>
    </w:p>
    <w:p w14:paraId="30039433" w14:textId="77777777" w:rsidR="004B7319" w:rsidRPr="00295D19" w:rsidRDefault="004B7319" w:rsidP="004B7319">
      <w:pPr>
        <w:ind w:firstLine="708"/>
        <w:jc w:val="both"/>
      </w:pPr>
      <w:r w:rsidRPr="00295D19">
        <w:t xml:space="preserve">Расходы на дорожное хозяйство запланированы в размере плановых поступлений доходов от уплаты акцизов по подакцизным товарам.  </w:t>
      </w:r>
    </w:p>
    <w:p w14:paraId="52C15ABC" w14:textId="77777777" w:rsidR="0091026F" w:rsidRDefault="0091026F" w:rsidP="00615CB4">
      <w:pPr>
        <w:ind w:firstLine="708"/>
        <w:jc w:val="center"/>
        <w:rPr>
          <w:b/>
          <w:u w:val="single"/>
        </w:rPr>
      </w:pPr>
    </w:p>
    <w:p w14:paraId="33FAAF53" w14:textId="191EEEF1" w:rsidR="00615CB4" w:rsidRPr="00615CB4" w:rsidRDefault="00615CB4" w:rsidP="00615CB4">
      <w:pPr>
        <w:ind w:firstLine="708"/>
        <w:jc w:val="center"/>
        <w:rPr>
          <w:b/>
          <w:u w:val="single"/>
        </w:rPr>
      </w:pPr>
      <w:r w:rsidRPr="00615CB4">
        <w:rPr>
          <w:b/>
          <w:u w:val="single"/>
        </w:rPr>
        <w:t>Раздел 05 «Жилищно-коммунальное хозяйство»</w:t>
      </w:r>
    </w:p>
    <w:p w14:paraId="3324E250" w14:textId="65D136C2" w:rsidR="00615CB4" w:rsidRDefault="00615CB4" w:rsidP="00615CB4">
      <w:pPr>
        <w:autoSpaceDE w:val="0"/>
        <w:autoSpaceDN w:val="0"/>
        <w:adjustRightInd w:val="0"/>
        <w:ind w:firstLine="539"/>
        <w:jc w:val="both"/>
      </w:pPr>
      <w:r w:rsidRPr="0005171F">
        <w:t xml:space="preserve">Расходы по данному подразделу планируются на осуществление мероприятий в области коммунального хозяйства и благоустройства. </w:t>
      </w:r>
      <w:r w:rsidRPr="00E92C7E">
        <w:t xml:space="preserve">Ожидаемое исполнение за </w:t>
      </w:r>
      <w:r>
        <w:t>202</w:t>
      </w:r>
      <w:r w:rsidR="00171165">
        <w:t xml:space="preserve">2 </w:t>
      </w:r>
      <w:r w:rsidRPr="00E92C7E">
        <w:t xml:space="preserve">год </w:t>
      </w:r>
      <w:r>
        <w:t>по разделу</w:t>
      </w:r>
      <w:r w:rsidRPr="009A6C8B">
        <w:t xml:space="preserve"> 05</w:t>
      </w:r>
      <w:r>
        <w:t xml:space="preserve"> </w:t>
      </w:r>
      <w:r w:rsidRPr="00E92C7E">
        <w:t xml:space="preserve">составит </w:t>
      </w:r>
      <w:r w:rsidR="00171165">
        <w:t>1861,4</w:t>
      </w:r>
      <w:r>
        <w:t xml:space="preserve"> </w:t>
      </w:r>
      <w:r w:rsidRPr="00E92C7E">
        <w:t>тыс. рублей</w:t>
      </w:r>
      <w:r w:rsidRPr="00E92C7E">
        <w:rPr>
          <w:bCs/>
        </w:rPr>
        <w:t>,</w:t>
      </w:r>
      <w:r w:rsidRPr="00E92C7E">
        <w:rPr>
          <w:b/>
          <w:bCs/>
        </w:rPr>
        <w:t xml:space="preserve"> </w:t>
      </w:r>
      <w:r w:rsidRPr="004F30F5">
        <w:rPr>
          <w:bCs/>
        </w:rPr>
        <w:t xml:space="preserve">и </w:t>
      </w:r>
      <w:r>
        <w:t xml:space="preserve">составит </w:t>
      </w:r>
      <w:r w:rsidR="00171165">
        <w:t>8</w:t>
      </w:r>
      <w:r w:rsidRPr="00E92C7E">
        <w:t xml:space="preserve">% от общей суммы расходов бюджета. Расходы на </w:t>
      </w:r>
      <w:r w:rsidR="000E76FA">
        <w:t>2023</w:t>
      </w:r>
      <w:r w:rsidRPr="00E92C7E">
        <w:t xml:space="preserve"> год</w:t>
      </w:r>
      <w:r>
        <w:t xml:space="preserve"> </w:t>
      </w:r>
      <w:r w:rsidRPr="00E92C7E">
        <w:t>по данному разделу планируется утвердить</w:t>
      </w:r>
      <w:r w:rsidRPr="00E92C7E">
        <w:rPr>
          <w:b/>
        </w:rPr>
        <w:t xml:space="preserve"> </w:t>
      </w:r>
      <w:r w:rsidRPr="00E92C7E">
        <w:t xml:space="preserve">в сумме </w:t>
      </w:r>
      <w:r w:rsidR="00171165">
        <w:t>637,6</w:t>
      </w:r>
      <w:r w:rsidRPr="00E92C7E">
        <w:t xml:space="preserve"> тыс. рублей, что составит </w:t>
      </w:r>
      <w:r w:rsidR="00171165">
        <w:t>34</w:t>
      </w:r>
      <w:r>
        <w:t>,2</w:t>
      </w:r>
      <w:r w:rsidRPr="00E92C7E">
        <w:t xml:space="preserve">% к уровню </w:t>
      </w:r>
      <w:r>
        <w:t>202</w:t>
      </w:r>
      <w:r w:rsidR="00171165">
        <w:t>2</w:t>
      </w:r>
      <w:r>
        <w:t xml:space="preserve"> года, на </w:t>
      </w:r>
      <w:r w:rsidR="000E76FA">
        <w:t>2024</w:t>
      </w:r>
      <w:r>
        <w:t xml:space="preserve">г. – </w:t>
      </w:r>
      <w:r w:rsidR="00171165">
        <w:t>685</w:t>
      </w:r>
      <w:r>
        <w:t xml:space="preserve"> тыс. руб., на </w:t>
      </w:r>
      <w:r w:rsidR="000E76FA">
        <w:t>2025</w:t>
      </w:r>
      <w:r>
        <w:t xml:space="preserve">г. – </w:t>
      </w:r>
      <w:r w:rsidR="00171165">
        <w:t>1768,8</w:t>
      </w:r>
      <w:r>
        <w:t xml:space="preserve"> тыс. руб.</w:t>
      </w:r>
      <w:r w:rsidR="00173F8B" w:rsidRPr="00173F8B">
        <w:t xml:space="preserve"> Удельный вес расходов на жилищно-коммунальное хозяйство в общем объеме расходов бюджета поселения в 202</w:t>
      </w:r>
      <w:r w:rsidR="00173F8B">
        <w:t>2</w:t>
      </w:r>
      <w:r w:rsidR="00173F8B" w:rsidRPr="00173F8B">
        <w:t xml:space="preserve"> году составляет </w:t>
      </w:r>
      <w:r w:rsidR="00173F8B">
        <w:t>8,1</w:t>
      </w:r>
      <w:r w:rsidR="00173F8B" w:rsidRPr="00173F8B">
        <w:t>%, в 202</w:t>
      </w:r>
      <w:r w:rsidR="00173F8B">
        <w:t>3</w:t>
      </w:r>
      <w:r w:rsidR="00173F8B" w:rsidRPr="00173F8B">
        <w:t xml:space="preserve"> году – </w:t>
      </w:r>
      <w:r w:rsidR="00173F8B">
        <w:t>4</w:t>
      </w:r>
      <w:r w:rsidR="00173F8B" w:rsidRPr="00173F8B">
        <w:t>,3%, в 202</w:t>
      </w:r>
      <w:r w:rsidR="00173F8B">
        <w:t>4</w:t>
      </w:r>
      <w:r w:rsidR="00173F8B" w:rsidRPr="00173F8B">
        <w:t xml:space="preserve"> году – </w:t>
      </w:r>
      <w:r w:rsidR="00173F8B">
        <w:t>5,3</w:t>
      </w:r>
      <w:r w:rsidR="00173F8B" w:rsidRPr="00173F8B">
        <w:t>%, в 202</w:t>
      </w:r>
      <w:r w:rsidR="00173F8B">
        <w:t>5</w:t>
      </w:r>
      <w:r w:rsidR="00173F8B" w:rsidRPr="00173F8B">
        <w:t xml:space="preserve"> году – 1</w:t>
      </w:r>
      <w:r w:rsidR="00173F8B">
        <w:t>2</w:t>
      </w:r>
      <w:r w:rsidR="00173F8B" w:rsidRPr="00173F8B">
        <w:t>,7%.</w:t>
      </w:r>
    </w:p>
    <w:p w14:paraId="290AE4C4" w14:textId="0998D0BA" w:rsidR="00E50320" w:rsidRDefault="00754873" w:rsidP="00754873">
      <w:pPr>
        <w:autoSpaceDE w:val="0"/>
        <w:autoSpaceDN w:val="0"/>
        <w:adjustRightInd w:val="0"/>
        <w:ind w:firstLine="539"/>
        <w:jc w:val="both"/>
      </w:pPr>
      <w:r w:rsidRPr="00DD2B09">
        <w:rPr>
          <w:b/>
        </w:rPr>
        <w:t>По подразделу 0502 «Коммунальное хозяйство»</w:t>
      </w:r>
      <w:r>
        <w:t xml:space="preserve"> бюджетные ассигнования на </w:t>
      </w:r>
      <w:r w:rsidR="000E76FA">
        <w:t>2023</w:t>
      </w:r>
      <w:r>
        <w:t xml:space="preserve"> год предусмотрены в объеме </w:t>
      </w:r>
      <w:r w:rsidRPr="00754873">
        <w:t>50 тыс. руб.</w:t>
      </w:r>
      <w:r w:rsidR="00173F8B">
        <w:t xml:space="preserve"> (</w:t>
      </w:r>
      <w:r>
        <w:t>оценк</w:t>
      </w:r>
      <w:r w:rsidR="00173F8B">
        <w:t>а</w:t>
      </w:r>
      <w:r>
        <w:t xml:space="preserve"> 202</w:t>
      </w:r>
      <w:r w:rsidR="00173F8B">
        <w:t>2</w:t>
      </w:r>
      <w:r>
        <w:t xml:space="preserve"> года</w:t>
      </w:r>
      <w:r w:rsidR="00173F8B">
        <w:t xml:space="preserve"> -</w:t>
      </w:r>
      <w:r>
        <w:t xml:space="preserve"> </w:t>
      </w:r>
      <w:r w:rsidR="00C71E2B">
        <w:t>5 тыс. руб.).</w:t>
      </w:r>
      <w:r w:rsidR="00E50320">
        <w:t xml:space="preserve"> Согласно пояснительной записки к проекту бюджета расходы предусмотрены на оплату за электроэнергию водонапорных башен, ремонт теплосети. На </w:t>
      </w:r>
      <w:r w:rsidR="00173F8B">
        <w:t xml:space="preserve">плановый период </w:t>
      </w:r>
      <w:r w:rsidR="000E76FA">
        <w:t>2024</w:t>
      </w:r>
      <w:r w:rsidR="00173F8B">
        <w:t>-2025</w:t>
      </w:r>
      <w:r w:rsidR="00E50320">
        <w:t xml:space="preserve"> год</w:t>
      </w:r>
      <w:r w:rsidR="00173F8B">
        <w:t>ов</w:t>
      </w:r>
      <w:r w:rsidR="00E50320">
        <w:t xml:space="preserve"> расходы предусмотрены </w:t>
      </w:r>
      <w:r w:rsidR="00173F8B">
        <w:t>по</w:t>
      </w:r>
      <w:r w:rsidR="00E50320">
        <w:t xml:space="preserve"> 37 тыс. руб.</w:t>
      </w:r>
      <w:r w:rsidR="00173F8B">
        <w:t xml:space="preserve"> на эти же цели</w:t>
      </w:r>
      <w:r w:rsidR="00E50320">
        <w:t>.</w:t>
      </w:r>
    </w:p>
    <w:p w14:paraId="21F6F48B" w14:textId="3E05BB2C" w:rsidR="00B92F6E" w:rsidRDefault="00FB471D" w:rsidP="005759C5">
      <w:pPr>
        <w:autoSpaceDE w:val="0"/>
        <w:autoSpaceDN w:val="0"/>
        <w:adjustRightInd w:val="0"/>
        <w:ind w:firstLine="539"/>
        <w:jc w:val="both"/>
      </w:pPr>
      <w:r w:rsidRPr="00F2781C">
        <w:t>По подразделу</w:t>
      </w:r>
      <w:r w:rsidRPr="00C71BC0">
        <w:rPr>
          <w:b/>
        </w:rPr>
        <w:t xml:space="preserve"> 0503</w:t>
      </w:r>
      <w:r w:rsidRPr="00C71BC0">
        <w:t xml:space="preserve"> «</w:t>
      </w:r>
      <w:r w:rsidRPr="00C71BC0">
        <w:rPr>
          <w:b/>
        </w:rPr>
        <w:t xml:space="preserve">Благоустройство» </w:t>
      </w:r>
      <w:r w:rsidRPr="00BE1621">
        <w:t>ожидаемое исполнение</w:t>
      </w:r>
      <w:r>
        <w:t xml:space="preserve"> в 202</w:t>
      </w:r>
      <w:r w:rsidR="00C65461">
        <w:t>2</w:t>
      </w:r>
      <w:r>
        <w:t xml:space="preserve"> году составит 1</w:t>
      </w:r>
      <w:r w:rsidR="00C65461">
        <w:t>856</w:t>
      </w:r>
      <w:r>
        <w:t>,4 тыс. руб.</w:t>
      </w:r>
      <w:r w:rsidR="00880839">
        <w:t xml:space="preserve"> На </w:t>
      </w:r>
      <w:r w:rsidR="000E76FA">
        <w:t>2023</w:t>
      </w:r>
      <w:r w:rsidR="00880839">
        <w:t xml:space="preserve"> год проектом бюджета расходы предусмотрены в сумме </w:t>
      </w:r>
      <w:r w:rsidR="00C65461">
        <w:t>587,6</w:t>
      </w:r>
      <w:r w:rsidR="00880839">
        <w:t xml:space="preserve"> тыс.</w:t>
      </w:r>
      <w:r w:rsidR="00B92F6E">
        <w:t xml:space="preserve">, </w:t>
      </w:r>
      <w:r w:rsidR="00880839">
        <w:t>руб.</w:t>
      </w:r>
      <w:r w:rsidR="007D1471">
        <w:t>,</w:t>
      </w:r>
      <w:r w:rsidR="00B92F6E">
        <w:t xml:space="preserve"> или </w:t>
      </w:r>
      <w:r w:rsidR="00C65461">
        <w:t>31,6</w:t>
      </w:r>
      <w:r w:rsidR="00B92F6E">
        <w:t>% к оценке 202</w:t>
      </w:r>
      <w:r w:rsidR="00C65461">
        <w:t>2</w:t>
      </w:r>
      <w:r w:rsidR="00B92F6E">
        <w:t xml:space="preserve"> года. По данному подразделу запланированы расходы на оплату уличного освещения, аренду опор, приобретение прожекторов уличного освещения</w:t>
      </w:r>
      <w:r w:rsidR="00C65461">
        <w:t xml:space="preserve">, на </w:t>
      </w:r>
      <w:r w:rsidR="00B92F6E">
        <w:t xml:space="preserve">реализацию </w:t>
      </w:r>
      <w:r w:rsidR="0008119B">
        <w:t xml:space="preserve">мероприятий </w:t>
      </w:r>
      <w:r w:rsidR="00C65461" w:rsidRPr="00C65461">
        <w:t xml:space="preserve">перечня проектов народных инициатив </w:t>
      </w:r>
      <w:r w:rsidR="00C65461">
        <w:t>(</w:t>
      </w:r>
      <w:r w:rsidR="0008119B">
        <w:t>38</w:t>
      </w:r>
      <w:r w:rsidR="00C65461">
        <w:t>2</w:t>
      </w:r>
      <w:r w:rsidR="0008119B">
        <w:t>,8 тыс. руб.</w:t>
      </w:r>
      <w:r w:rsidR="00C65461">
        <w:t>).</w:t>
      </w:r>
      <w:r w:rsidR="0008119B">
        <w:t xml:space="preserve"> </w:t>
      </w:r>
    </w:p>
    <w:p w14:paraId="1A103AF6" w14:textId="23BE99C1" w:rsidR="00AE080E" w:rsidRDefault="00356CF9" w:rsidP="00356CF9">
      <w:pPr>
        <w:autoSpaceDE w:val="0"/>
        <w:autoSpaceDN w:val="0"/>
        <w:adjustRightInd w:val="0"/>
        <w:ind w:firstLine="539"/>
        <w:jc w:val="both"/>
      </w:pPr>
      <w:r>
        <w:t xml:space="preserve">На плановый период </w:t>
      </w:r>
      <w:r w:rsidR="000E76FA">
        <w:t>2024</w:t>
      </w:r>
      <w:r>
        <w:t xml:space="preserve"> и </w:t>
      </w:r>
      <w:r w:rsidR="000E76FA">
        <w:t>2025</w:t>
      </w:r>
      <w:r>
        <w:t xml:space="preserve"> годов бюджетные ассигнования предусмотрены</w:t>
      </w:r>
      <w:r w:rsidR="00AE080E">
        <w:t xml:space="preserve"> в сумме </w:t>
      </w:r>
      <w:r w:rsidR="00C940CB">
        <w:t>648</w:t>
      </w:r>
      <w:r w:rsidR="00AE080E">
        <w:t xml:space="preserve"> тыс. руб. и 1</w:t>
      </w:r>
      <w:r w:rsidR="00C940CB">
        <w:t>731,8</w:t>
      </w:r>
      <w:r w:rsidR="00AE080E">
        <w:t xml:space="preserve"> тыс. руб. соответственно</w:t>
      </w:r>
      <w:r w:rsidR="00C940CB">
        <w:t>, из них за счет средств областной субсидии на реализацию</w:t>
      </w:r>
      <w:r w:rsidR="00EB2F08">
        <w:t xml:space="preserve"> мероприятий народных инициатив по 400 тыс. руб. ежегодно. На 2025 год предусмотрена реализация </w:t>
      </w:r>
      <w:r w:rsidR="00EB2F08" w:rsidRPr="00EB2F08">
        <w:t>мероприятий по сбору, транспортированию и утилизации (захоронению) ТКО с несанкционированных мест размещения</w:t>
      </w:r>
      <w:r w:rsidR="00EB2F08">
        <w:t xml:space="preserve"> ТКО с софинансированием из областного бюджета в объеме 1131,8 тыс.руб.</w:t>
      </w:r>
    </w:p>
    <w:p w14:paraId="7BB2A743" w14:textId="77777777" w:rsidR="00B92F6E" w:rsidRDefault="00B92F6E" w:rsidP="005759C5">
      <w:pPr>
        <w:autoSpaceDE w:val="0"/>
        <w:autoSpaceDN w:val="0"/>
        <w:adjustRightInd w:val="0"/>
        <w:ind w:firstLine="539"/>
        <w:jc w:val="both"/>
      </w:pPr>
    </w:p>
    <w:p w14:paraId="0FC7A283" w14:textId="77777777" w:rsidR="00D80372" w:rsidRDefault="00D80372" w:rsidP="00D80372">
      <w:pPr>
        <w:pStyle w:val="a9"/>
        <w:spacing w:after="0"/>
        <w:ind w:firstLine="539"/>
        <w:jc w:val="center"/>
        <w:rPr>
          <w:b/>
          <w:u w:val="single"/>
        </w:rPr>
      </w:pPr>
      <w:r>
        <w:rPr>
          <w:b/>
          <w:u w:val="single"/>
        </w:rPr>
        <w:t>Раздел 07 «Образование»</w:t>
      </w:r>
    </w:p>
    <w:p w14:paraId="78B24817" w14:textId="77777777" w:rsidR="00D80372" w:rsidRPr="00484943" w:rsidRDefault="00D80372" w:rsidP="00D80372">
      <w:pPr>
        <w:ind w:firstLine="567"/>
        <w:jc w:val="both"/>
      </w:pPr>
      <w:r w:rsidRPr="0006471A">
        <w:t>В данном разделе предусмотрены ассигнования по подразделу 0</w:t>
      </w:r>
      <w:r>
        <w:t xml:space="preserve">705 </w:t>
      </w:r>
      <w:r w:rsidRPr="00484943">
        <w:t>"Профессиональная подготовка, переподготовка и повышение квалификации"</w:t>
      </w:r>
      <w:r>
        <w:t>.</w:t>
      </w:r>
    </w:p>
    <w:p w14:paraId="6A8485A7" w14:textId="318D0B8F" w:rsidR="00D80372" w:rsidRDefault="00D80372" w:rsidP="00D80372">
      <w:pPr>
        <w:autoSpaceDE w:val="0"/>
        <w:autoSpaceDN w:val="0"/>
        <w:adjustRightInd w:val="0"/>
        <w:ind w:firstLine="539"/>
        <w:jc w:val="both"/>
      </w:pPr>
      <w:r>
        <w:lastRenderedPageBreak/>
        <w:t>О</w:t>
      </w:r>
      <w:r w:rsidRPr="002D679D">
        <w:t>жидаемое исполнение</w:t>
      </w:r>
      <w:r>
        <w:t xml:space="preserve"> в 202</w:t>
      </w:r>
      <w:r w:rsidR="00EB2F08">
        <w:t>1</w:t>
      </w:r>
      <w:r>
        <w:t xml:space="preserve"> году составит </w:t>
      </w:r>
      <w:r w:rsidR="00EB2F08">
        <w:t>42</w:t>
      </w:r>
      <w:r>
        <w:t xml:space="preserve"> тыс. руб., на </w:t>
      </w:r>
      <w:r w:rsidR="000E76FA">
        <w:t>2023</w:t>
      </w:r>
      <w:r>
        <w:t xml:space="preserve"> год и плановый период </w:t>
      </w:r>
      <w:r w:rsidR="000E76FA">
        <w:t>2024</w:t>
      </w:r>
      <w:r>
        <w:t>-</w:t>
      </w:r>
      <w:r w:rsidR="000E76FA">
        <w:t>2025</w:t>
      </w:r>
      <w:r>
        <w:t>гг. бюджетные ассигнования предусмотрены по 34 тыс. руб. ежегодно на повышение квалификации муниципальных служащих и работников культуры.</w:t>
      </w:r>
    </w:p>
    <w:p w14:paraId="790835B3" w14:textId="77777777" w:rsidR="006A1B1E" w:rsidRDefault="006A1B1E" w:rsidP="00D80372">
      <w:pPr>
        <w:autoSpaceDE w:val="0"/>
        <w:autoSpaceDN w:val="0"/>
        <w:adjustRightInd w:val="0"/>
        <w:ind w:firstLine="539"/>
        <w:jc w:val="both"/>
      </w:pPr>
    </w:p>
    <w:p w14:paraId="4B0112A8" w14:textId="77777777" w:rsidR="006A1B1E" w:rsidRPr="00696841" w:rsidRDefault="006A1B1E" w:rsidP="006A1B1E">
      <w:pPr>
        <w:pStyle w:val="a9"/>
        <w:spacing w:after="0"/>
        <w:ind w:firstLine="539"/>
        <w:jc w:val="center"/>
        <w:rPr>
          <w:b/>
          <w:u w:val="single"/>
        </w:rPr>
      </w:pPr>
      <w:r w:rsidRPr="00696841">
        <w:rPr>
          <w:b/>
          <w:u w:val="single"/>
        </w:rPr>
        <w:t>Раздел 08 «Культура и кинематография»</w:t>
      </w:r>
    </w:p>
    <w:p w14:paraId="03358FFA" w14:textId="6992DA05" w:rsidR="006A1B1E" w:rsidRPr="00A441D3" w:rsidRDefault="006A1B1E" w:rsidP="006A1B1E">
      <w:pPr>
        <w:autoSpaceDE w:val="0"/>
        <w:autoSpaceDN w:val="0"/>
        <w:adjustRightInd w:val="0"/>
        <w:ind w:firstLine="539"/>
        <w:jc w:val="both"/>
        <w:rPr>
          <w:bCs/>
          <w:color w:val="FF0000"/>
        </w:rPr>
      </w:pPr>
      <w:r w:rsidRPr="00696841">
        <w:t xml:space="preserve">Расходы предусмотрены по подразделу </w:t>
      </w:r>
      <w:r w:rsidRPr="00696841">
        <w:rPr>
          <w:b/>
        </w:rPr>
        <w:t>0801 «Культура»</w:t>
      </w:r>
      <w:r w:rsidRPr="00696841">
        <w:t xml:space="preserve"> в сумме </w:t>
      </w:r>
      <w:r w:rsidR="00EB2F08">
        <w:t>6308,4</w:t>
      </w:r>
      <w:r w:rsidRPr="00696841">
        <w:t xml:space="preserve"> тыс. рублей на </w:t>
      </w:r>
      <w:r w:rsidR="000E76FA">
        <w:t>2023</w:t>
      </w:r>
      <w:r w:rsidRPr="00696841">
        <w:t xml:space="preserve"> год, </w:t>
      </w:r>
      <w:r>
        <w:t>что составит</w:t>
      </w:r>
      <w:r w:rsidRPr="00696841">
        <w:t xml:space="preserve"> </w:t>
      </w:r>
      <w:r w:rsidR="00EB2F08">
        <w:t>42,2</w:t>
      </w:r>
      <w:r w:rsidRPr="00696841">
        <w:t>% от всех расходов бюджета. Проектом бюджета предл</w:t>
      </w:r>
      <w:r>
        <w:t xml:space="preserve">агается утвердить расходы в </w:t>
      </w:r>
      <w:r w:rsidR="000E76FA">
        <w:t>2023</w:t>
      </w:r>
      <w:r w:rsidRPr="00696841">
        <w:t xml:space="preserve"> году</w:t>
      </w:r>
      <w:r>
        <w:t xml:space="preserve"> ниже ожидаемого исполнения 202</w:t>
      </w:r>
      <w:r w:rsidR="00EB2F08">
        <w:t>2</w:t>
      </w:r>
      <w:r>
        <w:t xml:space="preserve"> </w:t>
      </w:r>
      <w:r w:rsidRPr="00696841">
        <w:t>года на</w:t>
      </w:r>
      <w:r>
        <w:t xml:space="preserve"> </w:t>
      </w:r>
      <w:r w:rsidR="00EB2F08">
        <w:t>938,5</w:t>
      </w:r>
      <w:r>
        <w:t xml:space="preserve"> </w:t>
      </w:r>
      <w:r w:rsidRPr="00696841">
        <w:t xml:space="preserve">тыс. рублей, или на </w:t>
      </w:r>
      <w:r w:rsidR="00EB2F08">
        <w:t>13</w:t>
      </w:r>
      <w:r w:rsidRPr="00696841">
        <w:t>%.</w:t>
      </w:r>
      <w:r w:rsidRPr="00A441D3">
        <w:rPr>
          <w:color w:val="FF0000"/>
        </w:rPr>
        <w:t xml:space="preserve"> </w:t>
      </w:r>
      <w:bookmarkStart w:id="4" w:name="_Hlk119596762"/>
      <w:r w:rsidR="00EB2F08">
        <w:t xml:space="preserve">По сложившейся практике по мере корректировки доходной части бюджета, будут увеличиваться и бюджетные ассигнования на </w:t>
      </w:r>
      <w:r w:rsidR="004C3C0E">
        <w:t>финансовое обеспечение учреждения культуры</w:t>
      </w:r>
      <w:bookmarkEnd w:id="4"/>
      <w:r w:rsidR="00E37902">
        <w:t>.</w:t>
      </w:r>
    </w:p>
    <w:p w14:paraId="38E10E3C" w14:textId="20291C8D" w:rsidR="00A641A0" w:rsidRDefault="006A1B1E" w:rsidP="006A1B1E">
      <w:pPr>
        <w:pStyle w:val="a9"/>
        <w:spacing w:after="0"/>
        <w:ind w:firstLine="539"/>
        <w:jc w:val="both"/>
      </w:pPr>
      <w:r w:rsidRPr="00654617">
        <w:t xml:space="preserve">Из общих расходов на культуру в </w:t>
      </w:r>
      <w:r w:rsidR="000E76FA">
        <w:t>2023</w:t>
      </w:r>
      <w:r w:rsidRPr="00654617">
        <w:t xml:space="preserve"> году планируется направить на выплату заработной платы с учетом страховых взносов </w:t>
      </w:r>
      <w:r w:rsidR="004C3C0E">
        <w:t>88</w:t>
      </w:r>
      <w:r w:rsidRPr="00654617">
        <w:t xml:space="preserve">%, или </w:t>
      </w:r>
      <w:r w:rsidR="004C3C0E">
        <w:t>5554,1</w:t>
      </w:r>
      <w:r>
        <w:t xml:space="preserve"> тыс. руб</w:t>
      </w:r>
      <w:r w:rsidR="00A446BD">
        <w:t>.</w:t>
      </w:r>
      <w:r>
        <w:t xml:space="preserve"> Согласно пояснительной записк</w:t>
      </w:r>
      <w:r w:rsidR="0080560C">
        <w:t>е</w:t>
      </w:r>
      <w:r>
        <w:t xml:space="preserve"> к проекту бюджета на выплату зарплаты и начислений на оплату труда расходы запланированы на </w:t>
      </w:r>
      <w:r w:rsidR="0080560C">
        <w:t xml:space="preserve">9 </w:t>
      </w:r>
      <w:r>
        <w:t>месяцев</w:t>
      </w:r>
      <w:r w:rsidR="00E37902">
        <w:t xml:space="preserve">, средняя заработная плата работников культуры в </w:t>
      </w:r>
      <w:r w:rsidR="000E76FA">
        <w:t>2023</w:t>
      </w:r>
      <w:r w:rsidR="00E37902">
        <w:t xml:space="preserve"> году ра</w:t>
      </w:r>
      <w:r w:rsidR="00B4213F">
        <w:t xml:space="preserve">ссчитана с учетом «дорожной карты» и должна составить </w:t>
      </w:r>
      <w:r w:rsidR="0080560C">
        <w:t>46,6тыс.</w:t>
      </w:r>
      <w:r w:rsidR="00B4213F">
        <w:t xml:space="preserve"> рублей в месяц. На коммунальные услуги расходы запланированы на </w:t>
      </w:r>
      <w:r w:rsidR="0054036B">
        <w:t>6</w:t>
      </w:r>
      <w:r w:rsidR="00B4213F">
        <w:t xml:space="preserve"> месяцев </w:t>
      </w:r>
      <w:r w:rsidR="00EF6D0F">
        <w:t>–</w:t>
      </w:r>
      <w:r w:rsidR="00B4213F">
        <w:t xml:space="preserve"> </w:t>
      </w:r>
      <w:r w:rsidR="0054036B">
        <w:t>321</w:t>
      </w:r>
      <w:r w:rsidR="00EF6D0F">
        <w:t xml:space="preserve"> тыс. руб.</w:t>
      </w:r>
    </w:p>
    <w:p w14:paraId="2CEBF848" w14:textId="6CB31066" w:rsidR="00EF6D0F" w:rsidRDefault="00EF6D0F" w:rsidP="00EF6D0F">
      <w:pPr>
        <w:autoSpaceDE w:val="0"/>
        <w:autoSpaceDN w:val="0"/>
        <w:adjustRightInd w:val="0"/>
        <w:ind w:firstLine="539"/>
        <w:jc w:val="both"/>
      </w:pPr>
      <w:r w:rsidRPr="009737F9">
        <w:t xml:space="preserve">На </w:t>
      </w:r>
      <w:r w:rsidR="000E76FA">
        <w:t>2024</w:t>
      </w:r>
      <w:r w:rsidRPr="009737F9">
        <w:t xml:space="preserve"> год </w:t>
      </w:r>
      <w:r>
        <w:t>запланированы</w:t>
      </w:r>
      <w:r w:rsidRPr="009737F9">
        <w:t xml:space="preserve"> расходы на культуру в сумме </w:t>
      </w:r>
      <w:r w:rsidR="0054036B">
        <w:t>5302</w:t>
      </w:r>
      <w:r>
        <w:t xml:space="preserve">,3 </w:t>
      </w:r>
      <w:r w:rsidRPr="009737F9">
        <w:t xml:space="preserve">тыс. руб., на </w:t>
      </w:r>
      <w:r w:rsidR="000E76FA">
        <w:t>2025</w:t>
      </w:r>
      <w:r>
        <w:t xml:space="preserve"> </w:t>
      </w:r>
      <w:r w:rsidRPr="009737F9">
        <w:t>год предлагаются к ут</w:t>
      </w:r>
      <w:r>
        <w:t xml:space="preserve">верждению расходы в сумме </w:t>
      </w:r>
      <w:r w:rsidR="0054036B">
        <w:t>5226,1</w:t>
      </w:r>
      <w:r>
        <w:t xml:space="preserve"> тыс. руб., </w:t>
      </w:r>
      <w:r w:rsidR="0054036B">
        <w:t>где расходы на заработную плату работникам культуры учтены на 7 месяцев, а коммунальные платежи - на 5 месяцев.</w:t>
      </w:r>
    </w:p>
    <w:p w14:paraId="2C890148" w14:textId="77777777" w:rsidR="0054036B" w:rsidRDefault="0054036B" w:rsidP="00EF6D0F">
      <w:pPr>
        <w:autoSpaceDE w:val="0"/>
        <w:autoSpaceDN w:val="0"/>
        <w:adjustRightInd w:val="0"/>
        <w:ind w:firstLine="539"/>
        <w:jc w:val="both"/>
      </w:pPr>
    </w:p>
    <w:p w14:paraId="73A09C86" w14:textId="77777777" w:rsidR="00D80372" w:rsidRDefault="00D80372" w:rsidP="00D80372">
      <w:pPr>
        <w:pStyle w:val="a9"/>
        <w:spacing w:after="0"/>
        <w:ind w:firstLine="708"/>
        <w:jc w:val="center"/>
        <w:rPr>
          <w:b/>
          <w:u w:val="single"/>
        </w:rPr>
      </w:pPr>
      <w:r w:rsidRPr="007B75BD">
        <w:rPr>
          <w:b/>
          <w:u w:val="single"/>
        </w:rPr>
        <w:t>Раздел 1</w:t>
      </w:r>
      <w:r>
        <w:rPr>
          <w:b/>
          <w:u w:val="single"/>
        </w:rPr>
        <w:t>0</w:t>
      </w:r>
      <w:r w:rsidRPr="007B75BD">
        <w:rPr>
          <w:b/>
          <w:u w:val="single"/>
        </w:rPr>
        <w:t xml:space="preserve"> «</w:t>
      </w:r>
      <w:r>
        <w:rPr>
          <w:b/>
          <w:u w:val="single"/>
        </w:rPr>
        <w:t>Социальная политика</w:t>
      </w:r>
      <w:r w:rsidRPr="007B75BD">
        <w:rPr>
          <w:b/>
          <w:u w:val="single"/>
        </w:rPr>
        <w:t>»</w:t>
      </w:r>
    </w:p>
    <w:p w14:paraId="73A1AD9F" w14:textId="5434BD9E" w:rsidR="00D80372" w:rsidRPr="00661869" w:rsidRDefault="00D80372" w:rsidP="00D80372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661869">
        <w:rPr>
          <w:bCs/>
        </w:rPr>
        <w:t xml:space="preserve">В данном разделе отражены расходы по подразделу 1001 «Пенсионное обеспечение» </w:t>
      </w:r>
      <w:r w:rsidRPr="00661869">
        <w:t xml:space="preserve">для выплаты </w:t>
      </w:r>
      <w:r w:rsidR="00365860" w:rsidRPr="00365860">
        <w:t>ежемесячной доплаты к трудовой пенсии лицам, замещавшим должности муниципальной службы</w:t>
      </w:r>
      <w:r>
        <w:t>, которых в Каразейском сельском поселении два человека.</w:t>
      </w:r>
    </w:p>
    <w:p w14:paraId="1C8EB12A" w14:textId="54F149FD" w:rsidR="004E0678" w:rsidRDefault="00D80372" w:rsidP="00C5251E">
      <w:pPr>
        <w:autoSpaceDE w:val="0"/>
        <w:autoSpaceDN w:val="0"/>
        <w:adjustRightInd w:val="0"/>
        <w:ind w:left="-170" w:firstLine="737"/>
        <w:jc w:val="both"/>
        <w:rPr>
          <w:bCs/>
        </w:rPr>
      </w:pPr>
      <w:r w:rsidRPr="006701D9">
        <w:rPr>
          <w:b/>
          <w:bCs/>
        </w:rPr>
        <w:t xml:space="preserve">По подразделу 1001 «Пенсионное обеспечение» </w:t>
      </w:r>
      <w:r w:rsidR="004E0678" w:rsidRPr="00BA43C9">
        <w:rPr>
          <w:bCs/>
        </w:rPr>
        <w:t xml:space="preserve">предусмотрены бюджетные ассигнования на </w:t>
      </w:r>
      <w:r w:rsidR="000E76FA">
        <w:rPr>
          <w:bCs/>
        </w:rPr>
        <w:t>2023</w:t>
      </w:r>
      <w:r w:rsidR="004E0678" w:rsidRPr="00BA43C9">
        <w:rPr>
          <w:bCs/>
        </w:rPr>
        <w:t xml:space="preserve"> год в объеме</w:t>
      </w:r>
      <w:r w:rsidR="004E0678">
        <w:rPr>
          <w:bCs/>
        </w:rPr>
        <w:t xml:space="preserve"> </w:t>
      </w:r>
      <w:r w:rsidR="00365860">
        <w:rPr>
          <w:bCs/>
        </w:rPr>
        <w:t>340,7</w:t>
      </w:r>
      <w:r w:rsidR="004E0678">
        <w:rPr>
          <w:bCs/>
        </w:rPr>
        <w:t xml:space="preserve"> т</w:t>
      </w:r>
      <w:r w:rsidR="004E0678" w:rsidRPr="00BA43C9">
        <w:rPr>
          <w:bCs/>
        </w:rPr>
        <w:t xml:space="preserve">ыс. рублей. </w:t>
      </w:r>
      <w:r w:rsidR="004E0678">
        <w:rPr>
          <w:bCs/>
        </w:rPr>
        <w:t xml:space="preserve">Расходы заложены </w:t>
      </w:r>
      <w:r w:rsidR="000A19DD">
        <w:rPr>
          <w:bCs/>
        </w:rPr>
        <w:t>на уровне 2022 года</w:t>
      </w:r>
      <w:r w:rsidR="004E0678">
        <w:rPr>
          <w:bCs/>
        </w:rPr>
        <w:t xml:space="preserve">. </w:t>
      </w:r>
      <w:r w:rsidR="000A19DD">
        <w:rPr>
          <w:bCs/>
        </w:rPr>
        <w:t>С 1 июня 2022 года</w:t>
      </w:r>
      <w:r w:rsidR="004E0678" w:rsidRPr="001C27C3">
        <w:rPr>
          <w:bCs/>
        </w:rPr>
        <w:t xml:space="preserve"> Постановлением Правительства Иркутской области от </w:t>
      </w:r>
      <w:r w:rsidR="004E0678">
        <w:rPr>
          <w:bCs/>
        </w:rPr>
        <w:t xml:space="preserve">3 сентября 2021 года  </w:t>
      </w:r>
      <w:r w:rsidR="004E0678" w:rsidRPr="001C27C3">
        <w:rPr>
          <w:bCs/>
        </w:rPr>
        <w:t xml:space="preserve">N </w:t>
      </w:r>
      <w:r w:rsidR="004E0678">
        <w:rPr>
          <w:bCs/>
        </w:rPr>
        <w:t>629</w:t>
      </w:r>
      <w:r w:rsidR="004E0678" w:rsidRPr="001C27C3">
        <w:rPr>
          <w:bCs/>
        </w:rPr>
        <w:t xml:space="preserve">-пп «Об установлении величины прожиточного минимума </w:t>
      </w:r>
      <w:r w:rsidR="004E0678">
        <w:rPr>
          <w:bCs/>
        </w:rPr>
        <w:t xml:space="preserve">в Иркутской области на </w:t>
      </w:r>
      <w:r w:rsidR="000E76FA">
        <w:rPr>
          <w:bCs/>
        </w:rPr>
        <w:t>202</w:t>
      </w:r>
      <w:r w:rsidR="000A19DD">
        <w:rPr>
          <w:bCs/>
        </w:rPr>
        <w:t>2</w:t>
      </w:r>
      <w:r w:rsidR="004E0678">
        <w:rPr>
          <w:bCs/>
        </w:rPr>
        <w:t xml:space="preserve"> год»</w:t>
      </w:r>
      <w:r w:rsidR="000A19DD">
        <w:rPr>
          <w:bCs/>
        </w:rPr>
        <w:t xml:space="preserve"> (в редакции постановления от 31.05.2022 № 425-пп)</w:t>
      </w:r>
      <w:r w:rsidR="004E0678">
        <w:rPr>
          <w:bCs/>
        </w:rPr>
        <w:t xml:space="preserve">, </w:t>
      </w:r>
      <w:r w:rsidR="000A19DD" w:rsidRPr="000A19DD">
        <w:rPr>
          <w:bCs/>
        </w:rPr>
        <w:t>величин</w:t>
      </w:r>
      <w:r w:rsidR="00715072">
        <w:rPr>
          <w:bCs/>
        </w:rPr>
        <w:t>а</w:t>
      </w:r>
      <w:r w:rsidR="000A19DD" w:rsidRPr="000A19DD">
        <w:rPr>
          <w:bCs/>
        </w:rPr>
        <w:t xml:space="preserve"> прожиточного минимума в Иркутской област</w:t>
      </w:r>
      <w:r w:rsidR="000A19DD">
        <w:rPr>
          <w:bCs/>
        </w:rPr>
        <w:t xml:space="preserve">и в целом </w:t>
      </w:r>
      <w:r w:rsidR="000A19DD" w:rsidRPr="000A19DD">
        <w:rPr>
          <w:bCs/>
        </w:rPr>
        <w:t>в расчете на душу населения</w:t>
      </w:r>
      <w:r w:rsidR="000A19DD">
        <w:rPr>
          <w:bCs/>
        </w:rPr>
        <w:t xml:space="preserve"> утверждена в сумме 14754руб.</w:t>
      </w:r>
    </w:p>
    <w:p w14:paraId="292F4A3D" w14:textId="3E2200F7" w:rsidR="00070D5A" w:rsidRPr="00070D5A" w:rsidRDefault="00070D5A" w:rsidP="004E0678">
      <w:pPr>
        <w:autoSpaceDE w:val="0"/>
        <w:autoSpaceDN w:val="0"/>
        <w:adjustRightInd w:val="0"/>
        <w:ind w:left="-170" w:firstLine="540"/>
        <w:jc w:val="both"/>
        <w:rPr>
          <w:bCs/>
        </w:rPr>
      </w:pPr>
      <w:r w:rsidRPr="00070D5A">
        <w:rPr>
          <w:bCs/>
        </w:rPr>
        <w:t xml:space="preserve">На </w:t>
      </w:r>
      <w:r w:rsidR="000E76FA">
        <w:rPr>
          <w:bCs/>
        </w:rPr>
        <w:t>2024</w:t>
      </w:r>
      <w:r w:rsidR="000A19DD">
        <w:rPr>
          <w:bCs/>
        </w:rPr>
        <w:t xml:space="preserve"> и 2025</w:t>
      </w:r>
      <w:r>
        <w:rPr>
          <w:bCs/>
        </w:rPr>
        <w:t xml:space="preserve"> год</w:t>
      </w:r>
      <w:r w:rsidR="000A19DD">
        <w:rPr>
          <w:bCs/>
        </w:rPr>
        <w:t>ы</w:t>
      </w:r>
      <w:r>
        <w:rPr>
          <w:bCs/>
        </w:rPr>
        <w:t xml:space="preserve"> бюджетные ассигнования</w:t>
      </w:r>
      <w:r w:rsidR="000A19DD">
        <w:rPr>
          <w:bCs/>
        </w:rPr>
        <w:t xml:space="preserve"> на пенсионное обеспечение предлагаются к утверждению в </w:t>
      </w:r>
      <w:r>
        <w:rPr>
          <w:bCs/>
        </w:rPr>
        <w:t xml:space="preserve">сумме </w:t>
      </w:r>
      <w:r w:rsidR="000A19DD">
        <w:rPr>
          <w:bCs/>
        </w:rPr>
        <w:t>257</w:t>
      </w:r>
      <w:r>
        <w:rPr>
          <w:bCs/>
        </w:rPr>
        <w:t xml:space="preserve"> тыс. руб.</w:t>
      </w:r>
      <w:r w:rsidR="000A19DD">
        <w:rPr>
          <w:bCs/>
        </w:rPr>
        <w:t xml:space="preserve"> ежегодно, что составит 75,4% от ассигнований 2023 года, т.е. расходные обязательства в области социальной политики на плановый период не обеспечены финансированием</w:t>
      </w:r>
      <w:r>
        <w:rPr>
          <w:bCs/>
        </w:rPr>
        <w:t>.</w:t>
      </w:r>
    </w:p>
    <w:p w14:paraId="163FBF8F" w14:textId="4AA18788" w:rsidR="00070D5A" w:rsidRDefault="00070D5A" w:rsidP="004E0678">
      <w:pPr>
        <w:autoSpaceDE w:val="0"/>
        <w:autoSpaceDN w:val="0"/>
        <w:adjustRightInd w:val="0"/>
        <w:ind w:left="-170" w:firstLine="540"/>
        <w:jc w:val="both"/>
        <w:rPr>
          <w:bCs/>
        </w:rPr>
      </w:pPr>
      <w:r w:rsidRPr="006701D9">
        <w:t>Удельный вес расходов на пенсионное обеспечение в общем объеме расходов бюджета</w:t>
      </w:r>
      <w:r>
        <w:t xml:space="preserve"> в </w:t>
      </w:r>
      <w:r w:rsidR="000E76FA">
        <w:t>2023</w:t>
      </w:r>
      <w:r>
        <w:t xml:space="preserve"> году составит 2,</w:t>
      </w:r>
      <w:r w:rsidR="000A19DD">
        <w:t>3</w:t>
      </w:r>
      <w:r>
        <w:t xml:space="preserve">%, в </w:t>
      </w:r>
      <w:r w:rsidR="000E76FA">
        <w:t>2024</w:t>
      </w:r>
      <w:r>
        <w:t xml:space="preserve"> году – 2%, в </w:t>
      </w:r>
      <w:r w:rsidR="000E76FA">
        <w:t>2025</w:t>
      </w:r>
      <w:r>
        <w:t xml:space="preserve"> году </w:t>
      </w:r>
      <w:r w:rsidR="00C5251E">
        <w:t>–</w:t>
      </w:r>
      <w:r>
        <w:t xml:space="preserve"> </w:t>
      </w:r>
      <w:r w:rsidR="00C5251E">
        <w:t>1,</w:t>
      </w:r>
      <w:r w:rsidR="000A19DD">
        <w:t>8</w:t>
      </w:r>
      <w:r w:rsidR="00C5251E">
        <w:t>%.</w:t>
      </w:r>
    </w:p>
    <w:p w14:paraId="26A489AC" w14:textId="77777777" w:rsidR="00D80372" w:rsidRPr="0006002F" w:rsidRDefault="00D80372" w:rsidP="00C5251E">
      <w:pPr>
        <w:tabs>
          <w:tab w:val="left" w:pos="3135"/>
        </w:tabs>
        <w:autoSpaceDE w:val="0"/>
        <w:autoSpaceDN w:val="0"/>
        <w:adjustRightInd w:val="0"/>
        <w:jc w:val="both"/>
      </w:pPr>
      <w:r>
        <w:tab/>
      </w:r>
    </w:p>
    <w:p w14:paraId="11425238" w14:textId="77777777" w:rsidR="00D80372" w:rsidRDefault="00D80372" w:rsidP="00D80372">
      <w:pPr>
        <w:pStyle w:val="a9"/>
        <w:spacing w:after="0"/>
        <w:ind w:firstLine="708"/>
        <w:jc w:val="center"/>
        <w:rPr>
          <w:b/>
          <w:u w:val="single"/>
        </w:rPr>
      </w:pPr>
      <w:r>
        <w:t xml:space="preserve"> </w:t>
      </w:r>
      <w:r w:rsidRPr="00802CFF">
        <w:rPr>
          <w:b/>
          <w:u w:val="single"/>
        </w:rPr>
        <w:t>Раздел 1</w:t>
      </w:r>
      <w:r>
        <w:rPr>
          <w:b/>
          <w:u w:val="single"/>
        </w:rPr>
        <w:t>1</w:t>
      </w:r>
      <w:r w:rsidRPr="00802CFF">
        <w:rPr>
          <w:b/>
          <w:u w:val="single"/>
        </w:rPr>
        <w:t xml:space="preserve"> «</w:t>
      </w:r>
      <w:r>
        <w:rPr>
          <w:b/>
          <w:u w:val="single"/>
        </w:rPr>
        <w:t>Физическая культура и спорт</w:t>
      </w:r>
      <w:r w:rsidRPr="007B75BD">
        <w:rPr>
          <w:b/>
          <w:u w:val="single"/>
        </w:rPr>
        <w:t>»</w:t>
      </w:r>
    </w:p>
    <w:p w14:paraId="3858F3CE" w14:textId="5DD2C97A" w:rsidR="00B025D0" w:rsidRDefault="00C5251E" w:rsidP="00C5251E">
      <w:pPr>
        <w:autoSpaceDE w:val="0"/>
        <w:autoSpaceDN w:val="0"/>
        <w:adjustRightInd w:val="0"/>
        <w:ind w:left="-170" w:firstLine="737"/>
        <w:jc w:val="both"/>
      </w:pPr>
      <w:r w:rsidRPr="00283A1C">
        <w:rPr>
          <w:b/>
          <w:bCs/>
        </w:rPr>
        <w:t>По подразделу 1</w:t>
      </w:r>
      <w:r>
        <w:rPr>
          <w:b/>
          <w:bCs/>
        </w:rPr>
        <w:t>1</w:t>
      </w:r>
      <w:r w:rsidRPr="00283A1C">
        <w:rPr>
          <w:b/>
          <w:bCs/>
        </w:rPr>
        <w:t>0</w:t>
      </w:r>
      <w:r w:rsidR="0020311A">
        <w:rPr>
          <w:b/>
          <w:bCs/>
        </w:rPr>
        <w:t>5</w:t>
      </w:r>
      <w:r w:rsidR="0020311A" w:rsidRPr="0020311A">
        <w:t xml:space="preserve"> </w:t>
      </w:r>
      <w:r w:rsidR="0020311A" w:rsidRPr="0020311A">
        <w:rPr>
          <w:b/>
          <w:bCs/>
        </w:rPr>
        <w:t>"Другие вопросы в области физической культуры и спорта"</w:t>
      </w:r>
      <w:r w:rsidRPr="00283A1C">
        <w:rPr>
          <w:b/>
          <w:bCs/>
        </w:rPr>
        <w:t xml:space="preserve"> </w:t>
      </w:r>
      <w:r w:rsidRPr="00283A1C">
        <w:t>предусмотрены бюджетные ассигнования</w:t>
      </w:r>
      <w:r>
        <w:t xml:space="preserve"> на </w:t>
      </w:r>
      <w:r w:rsidR="000E76FA">
        <w:t>2023</w:t>
      </w:r>
      <w:r w:rsidRPr="00283A1C">
        <w:t xml:space="preserve"> год</w:t>
      </w:r>
      <w:r>
        <w:t xml:space="preserve"> </w:t>
      </w:r>
      <w:r w:rsidR="0020311A">
        <w:t>и</w:t>
      </w:r>
      <w:r w:rsidR="00B025D0">
        <w:t xml:space="preserve"> на плановый период </w:t>
      </w:r>
      <w:r w:rsidR="000E76FA">
        <w:t>2024</w:t>
      </w:r>
      <w:r w:rsidR="00B025D0">
        <w:t>-</w:t>
      </w:r>
      <w:r w:rsidR="000E76FA">
        <w:t>2025</w:t>
      </w:r>
      <w:r w:rsidR="006A0488">
        <w:t xml:space="preserve"> гг. по 55 тыс. руб. ежегодно на приобретение и установку уличных спортивных тренажеров.</w:t>
      </w:r>
      <w:r w:rsidR="0020311A">
        <w:t xml:space="preserve"> В 2022 году ожидаемые расходы по данному подразделу составят 4497,5тыс.руб., т.к. осуществлено строительство многофункционального плоскостного сооружения.</w:t>
      </w:r>
    </w:p>
    <w:p w14:paraId="478DE7EC" w14:textId="77777777" w:rsidR="00D80372" w:rsidRDefault="00D80372" w:rsidP="00D80372">
      <w:pPr>
        <w:autoSpaceDE w:val="0"/>
        <w:autoSpaceDN w:val="0"/>
        <w:adjustRightInd w:val="0"/>
        <w:ind w:left="-170" w:firstLine="540"/>
        <w:jc w:val="both"/>
      </w:pPr>
    </w:p>
    <w:p w14:paraId="2A072A84" w14:textId="77777777" w:rsidR="00D80372" w:rsidRPr="007A37B2" w:rsidRDefault="00D80372" w:rsidP="00D80372">
      <w:pPr>
        <w:ind w:firstLine="567"/>
        <w:jc w:val="center"/>
        <w:rPr>
          <w:b/>
          <w:u w:val="single"/>
        </w:rPr>
      </w:pPr>
      <w:r w:rsidRPr="007A37B2">
        <w:rPr>
          <w:b/>
          <w:u w:val="single"/>
        </w:rPr>
        <w:t>Раздел 14 «Межбюджетные трансферты»</w:t>
      </w:r>
    </w:p>
    <w:p w14:paraId="6FF6E55D" w14:textId="77777777" w:rsidR="00D80372" w:rsidRPr="007A37B2" w:rsidRDefault="00D80372" w:rsidP="00D8037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A37B2">
        <w:rPr>
          <w:bCs/>
        </w:rPr>
        <w:t xml:space="preserve">В данном разделе отражены расходы по подразделу </w:t>
      </w:r>
      <w:r w:rsidRPr="00A428FA">
        <w:rPr>
          <w:bCs/>
        </w:rPr>
        <w:t>1403 «Прочие межбюджетные трансферты субъектов РФ и муниципальных образований общего характера».</w:t>
      </w:r>
    </w:p>
    <w:p w14:paraId="6DCA11B3" w14:textId="2D9E9889" w:rsidR="00D80372" w:rsidRDefault="00D80372" w:rsidP="00D80372">
      <w:pPr>
        <w:pStyle w:val="a9"/>
        <w:spacing w:after="0"/>
        <w:ind w:firstLine="539"/>
        <w:jc w:val="both"/>
      </w:pPr>
      <w:r w:rsidRPr="008B4E4C">
        <w:t xml:space="preserve">Ожидаемое исполнение расходов по подразделу 1403 в </w:t>
      </w:r>
      <w:r w:rsidR="006A0488">
        <w:t>202</w:t>
      </w:r>
      <w:r w:rsidR="0020311A">
        <w:t>2</w:t>
      </w:r>
      <w:r w:rsidRPr="008B4E4C">
        <w:t xml:space="preserve"> году составит </w:t>
      </w:r>
      <w:r w:rsidR="0020311A">
        <w:t>66</w:t>
      </w:r>
      <w:r w:rsidR="006A0488">
        <w:t>7</w:t>
      </w:r>
      <w:r>
        <w:t xml:space="preserve"> тыс. рублей.</w:t>
      </w:r>
      <w:r w:rsidRPr="008B4E4C">
        <w:t xml:space="preserve"> </w:t>
      </w:r>
      <w:r w:rsidRPr="007A37B2">
        <w:t xml:space="preserve">На </w:t>
      </w:r>
      <w:r w:rsidR="000E76FA">
        <w:t>2023</w:t>
      </w:r>
      <w:r w:rsidRPr="007A37B2">
        <w:t xml:space="preserve"> год</w:t>
      </w:r>
      <w:r>
        <w:t xml:space="preserve"> </w:t>
      </w:r>
      <w:r w:rsidRPr="007A37B2">
        <w:t xml:space="preserve">поселением предусмотрены </w:t>
      </w:r>
      <w:r w:rsidRPr="008727EE">
        <w:t xml:space="preserve">расходы на передачу четырех полномочий: организация осуществления внешнего муниципального </w:t>
      </w:r>
      <w:r>
        <w:t xml:space="preserve">финансового </w:t>
      </w:r>
      <w:r w:rsidRPr="008727EE">
        <w:t xml:space="preserve">контроля; </w:t>
      </w:r>
      <w:r w:rsidR="0020311A">
        <w:t xml:space="preserve">организация </w:t>
      </w:r>
      <w:r w:rsidRPr="008727EE">
        <w:t>размещени</w:t>
      </w:r>
      <w:r w:rsidR="0020311A">
        <w:t>я</w:t>
      </w:r>
      <w:r w:rsidRPr="008727EE">
        <w:t xml:space="preserve"> муниципального заказа; обслуживани</w:t>
      </w:r>
      <w:r w:rsidR="0020311A">
        <w:t>е</w:t>
      </w:r>
      <w:r w:rsidRPr="008727EE">
        <w:t xml:space="preserve"> бюджетов поселений</w:t>
      </w:r>
      <w:r>
        <w:t xml:space="preserve"> и </w:t>
      </w:r>
      <w:r>
        <w:lastRenderedPageBreak/>
        <w:t xml:space="preserve">организация внутреннего муниципального </w:t>
      </w:r>
      <w:r w:rsidR="0020311A">
        <w:t xml:space="preserve">финансового </w:t>
      </w:r>
      <w:r>
        <w:t xml:space="preserve">контроля. </w:t>
      </w:r>
      <w:r w:rsidRPr="007A37B2">
        <w:t>Объем средств</w:t>
      </w:r>
      <w:r>
        <w:t>,</w:t>
      </w:r>
      <w:r w:rsidRPr="007A37B2">
        <w:t xml:space="preserve"> предусмотренных </w:t>
      </w:r>
      <w:r>
        <w:t xml:space="preserve">на эти цели </w:t>
      </w:r>
      <w:r w:rsidRPr="007A37B2">
        <w:t xml:space="preserve">в </w:t>
      </w:r>
      <w:r w:rsidR="000E76FA">
        <w:t>2023</w:t>
      </w:r>
      <w:r w:rsidR="0020311A">
        <w:t>, 2024 и 2025</w:t>
      </w:r>
      <w:r w:rsidRPr="007A37B2">
        <w:t xml:space="preserve"> год</w:t>
      </w:r>
      <w:r w:rsidR="0020311A">
        <w:t>ах</w:t>
      </w:r>
      <w:r>
        <w:t xml:space="preserve"> составляет </w:t>
      </w:r>
      <w:r w:rsidR="0020311A">
        <w:t>по 727,9</w:t>
      </w:r>
      <w:r w:rsidRPr="007A37B2">
        <w:t xml:space="preserve"> тыс. рублей</w:t>
      </w:r>
      <w:r w:rsidR="0020311A">
        <w:t xml:space="preserve"> ежегодно</w:t>
      </w:r>
      <w:r>
        <w:t>.</w:t>
      </w:r>
      <w:r w:rsidRPr="00A441D3">
        <w:rPr>
          <w:color w:val="FF0000"/>
        </w:rPr>
        <w:t xml:space="preserve"> </w:t>
      </w:r>
      <w:r w:rsidRPr="007A37B2">
        <w:t xml:space="preserve">Удельный вес расходов по данному разделу в общем объеме расходов бюджета </w:t>
      </w:r>
      <w:r>
        <w:t>составит</w:t>
      </w:r>
      <w:r w:rsidRPr="008B4E4C">
        <w:t xml:space="preserve"> </w:t>
      </w:r>
      <w:r w:rsidR="00861185">
        <w:t>в 202</w:t>
      </w:r>
      <w:r w:rsidR="0020311A">
        <w:t>2</w:t>
      </w:r>
      <w:r>
        <w:t>г.</w:t>
      </w:r>
      <w:r w:rsidRPr="008B4E4C">
        <w:t xml:space="preserve"> – </w:t>
      </w:r>
      <w:r w:rsidR="0020311A">
        <w:t>2,9</w:t>
      </w:r>
      <w:r w:rsidR="00861185">
        <w:t xml:space="preserve">%, в </w:t>
      </w:r>
      <w:r w:rsidR="000E76FA">
        <w:t>2023</w:t>
      </w:r>
      <w:r>
        <w:t>г. – 4,</w:t>
      </w:r>
      <w:r w:rsidR="00EB1E96">
        <w:t>9</w:t>
      </w:r>
      <w:r>
        <w:t>%</w:t>
      </w:r>
      <w:r w:rsidR="00EB1E96">
        <w:t>, в 2024 г. - 5,6%, в 2025г. - 5,2%.</w:t>
      </w:r>
    </w:p>
    <w:p w14:paraId="718CBAC4" w14:textId="77777777" w:rsidR="00875BC9" w:rsidRDefault="00875BC9" w:rsidP="00D80372">
      <w:pPr>
        <w:ind w:firstLine="540"/>
        <w:jc w:val="center"/>
        <w:rPr>
          <w:b/>
          <w:u w:val="single"/>
        </w:rPr>
      </w:pPr>
    </w:p>
    <w:p w14:paraId="0ADF85D1" w14:textId="77777777" w:rsidR="00D80372" w:rsidRPr="0036109A" w:rsidRDefault="00D80372" w:rsidP="00D80372">
      <w:pPr>
        <w:ind w:left="-540" w:right="-365"/>
        <w:jc w:val="center"/>
        <w:rPr>
          <w:b/>
        </w:rPr>
      </w:pPr>
      <w:r>
        <w:rPr>
          <w:b/>
        </w:rPr>
        <w:t>Выводы:</w:t>
      </w:r>
    </w:p>
    <w:p w14:paraId="4C186422" w14:textId="315A4ED2" w:rsidR="00D1291B" w:rsidRDefault="00EB1E96" w:rsidP="00D80372">
      <w:pPr>
        <w:ind w:firstLine="567"/>
        <w:jc w:val="both"/>
      </w:pPr>
      <w:r>
        <w:t>1</w:t>
      </w:r>
      <w:r w:rsidR="004F2F3C">
        <w:t>. К прогнозу СЭР Каразейского МО имеются следующие замечания:</w:t>
      </w:r>
    </w:p>
    <w:p w14:paraId="5EC64D02" w14:textId="7A831DBA" w:rsidR="00F13BF6" w:rsidRDefault="004F2F3C" w:rsidP="00F13BF6">
      <w:pPr>
        <w:ind w:firstLine="567"/>
        <w:jc w:val="both"/>
      </w:pPr>
      <w:r w:rsidRPr="00EB1E96">
        <w:t>-</w:t>
      </w:r>
      <w:r w:rsidR="00F13BF6" w:rsidRPr="00EB1E96">
        <w:t xml:space="preserve"> </w:t>
      </w:r>
      <w:r w:rsidR="00EB1E96" w:rsidRPr="00EB1E96">
        <w:t>отсутствует</w:t>
      </w:r>
      <w:r w:rsidR="00EB1E96">
        <w:rPr>
          <w:b/>
        </w:rPr>
        <w:t xml:space="preserve"> </w:t>
      </w:r>
      <w:r w:rsidR="00EB1E96" w:rsidRPr="00EB1E96">
        <w:t>показатель «число действующих предприятий», в том числе по видам экономической деятельности. Данное замечание уже отмечалось при проведении экспертизы проекта бюджета поселения на 2022год и плановый период 2023-2024гг.</w:t>
      </w:r>
      <w:r w:rsidR="00F13BF6">
        <w:t>;</w:t>
      </w:r>
    </w:p>
    <w:p w14:paraId="7CFB3AC0" w14:textId="024F9268" w:rsidR="00EB1E96" w:rsidRDefault="00F13BF6" w:rsidP="00EB1E96">
      <w:pPr>
        <w:ind w:firstLine="567"/>
        <w:jc w:val="both"/>
      </w:pPr>
      <w:r>
        <w:t>-</w:t>
      </w:r>
      <w:r w:rsidRPr="00F13BF6">
        <w:t xml:space="preserve"> </w:t>
      </w:r>
      <w:r w:rsidR="00EB1E96">
        <w:t>отсутствует п</w:t>
      </w:r>
      <w:r w:rsidR="00EB1E96" w:rsidRPr="00EB1E96">
        <w:t>оказатель «уровень регистрируемой безработицы»</w:t>
      </w:r>
      <w:r w:rsidR="00EB1E96">
        <w:t>;</w:t>
      </w:r>
    </w:p>
    <w:p w14:paraId="41B05F52" w14:textId="6DD491FB" w:rsidR="00EB1E96" w:rsidRDefault="00EB1E96" w:rsidP="00EB1E96">
      <w:pPr>
        <w:ind w:firstLine="567"/>
        <w:jc w:val="both"/>
      </w:pPr>
      <w:r>
        <w:t xml:space="preserve">- </w:t>
      </w:r>
      <w:r w:rsidR="00350644">
        <w:t>п</w:t>
      </w:r>
      <w:r>
        <w:t>роектом бюд</w:t>
      </w:r>
      <w:r w:rsidR="00350644">
        <w:t>жета предлагаются к утверждению доходы от НДФЛ с ежегодным темпом роста 101%, однако, у</w:t>
      </w:r>
      <w:r w:rsidRPr="00EB1E96">
        <w:t>читывая темпы роста среднемесячной заработной платы, определенные Прогнозом СЭР Каразейского МО, на 2023 год – 105,4%, на 2024г. -105,2%, на 2025г. – 107,2%, можно предположить, что прогнозные показатели НДФЛ несколько занижены и не в полной мере взаимоувязаны с Прогнозом СЭР. То есть темпы роста средней заработной платы (105-107%) выше, чем темпы роста НДФЛ (101%), перечисляемого с этой заработной платы</w:t>
      </w:r>
      <w:r w:rsidR="00350644">
        <w:t>.</w:t>
      </w:r>
    </w:p>
    <w:p w14:paraId="67BC6142" w14:textId="76D37C3A" w:rsidR="00EB1E96" w:rsidRDefault="00EB1E96" w:rsidP="00EB1E96">
      <w:pPr>
        <w:ind w:firstLine="567"/>
        <w:jc w:val="both"/>
      </w:pPr>
      <w:r>
        <w:t>2</w:t>
      </w:r>
      <w:r w:rsidR="00C613FD">
        <w:t>.</w:t>
      </w:r>
      <w:r w:rsidR="00C613FD" w:rsidRPr="00C613FD">
        <w:t xml:space="preserve"> </w:t>
      </w:r>
      <w:r w:rsidRPr="00EB1E96">
        <w:t>В целом показатели проекта решения о бюджете соответствуют   установленным БК РФ принципам сбалансированности бюджета (ст.33 БК РФ) и общего (совокупного) покрытия расходов бюджетов (ст.35 БК РФ). Бюджет сформирован бездефицитный. Верхний предел муниципального долга Каразейского МО на 01.01.2024г., на 01.01.2025г., на 01.01.202</w:t>
      </w:r>
      <w:r w:rsidR="008A5935">
        <w:t>6</w:t>
      </w:r>
      <w:r w:rsidRPr="00EB1E96">
        <w:t xml:space="preserve">г. предусмотрен нулевой. Требования к размеру резервного фонда администрации поселения соблюдены (п. 3 ст. 81 БК РФ), объему бюджетных ассигнований Дорожного фонда поселения соблюдены (п. 5 ст. 179.4 БК РФ), к объему условно утверждаемых расходов соблюдены (п. 3 ст. 184.1 БК РФ). Бюджет </w:t>
      </w:r>
      <w:r>
        <w:t>Каразейс</w:t>
      </w:r>
      <w:r w:rsidRPr="00EB1E96">
        <w:t>кого сельского поселения сформирован непрограммным методом.</w:t>
      </w:r>
    </w:p>
    <w:p w14:paraId="66EC96A6" w14:textId="4CAB84CC" w:rsidR="00EE28EA" w:rsidRDefault="00350644" w:rsidP="00EE28EA">
      <w:pPr>
        <w:ind w:firstLine="567"/>
        <w:jc w:val="both"/>
      </w:pPr>
      <w:r>
        <w:t>3</w:t>
      </w:r>
      <w:r w:rsidRPr="00350644">
        <w:t>. В ходе экспертизы установлено неполное обеспечение действующих расходных обязательств в части формирования фонда оплаты труда с начислениями. Так, на 202</w:t>
      </w:r>
      <w:r>
        <w:t>3</w:t>
      </w:r>
      <w:r w:rsidRPr="00350644">
        <w:t xml:space="preserve"> год </w:t>
      </w:r>
      <w:bookmarkStart w:id="5" w:name="_Hlk119596486"/>
      <w:r w:rsidRPr="00350644">
        <w:t xml:space="preserve">расчетная оценка ~ </w:t>
      </w:r>
      <w:r w:rsidR="00EE28EA">
        <w:t>14371</w:t>
      </w:r>
      <w:r w:rsidRPr="00350644">
        <w:t xml:space="preserve"> тыс. руб</w:t>
      </w:r>
      <w:bookmarkEnd w:id="5"/>
      <w:r w:rsidRPr="00350644">
        <w:t xml:space="preserve">., предлагается проектом – </w:t>
      </w:r>
      <w:r w:rsidR="00EE28EA">
        <w:t>10828,9</w:t>
      </w:r>
      <w:r w:rsidRPr="00350644">
        <w:t>тыс.руб. (7</w:t>
      </w:r>
      <w:r w:rsidR="00EE28EA">
        <w:t>5</w:t>
      </w:r>
      <w:r w:rsidRPr="00350644">
        <w:t>% от потребности), на 202</w:t>
      </w:r>
      <w:r w:rsidR="00EE28EA">
        <w:t>4</w:t>
      </w:r>
      <w:r w:rsidRPr="00350644">
        <w:t xml:space="preserve">год расчетная оценка ~ </w:t>
      </w:r>
      <w:r w:rsidR="00EE28EA">
        <w:t>14380</w:t>
      </w:r>
      <w:r w:rsidRPr="00350644">
        <w:t xml:space="preserve"> тыс. руб., предлагается проектом – </w:t>
      </w:r>
      <w:r w:rsidR="00EE28EA">
        <w:t>883</w:t>
      </w:r>
      <w:r w:rsidRPr="00350644">
        <w:t>6тыс.руб. (6</w:t>
      </w:r>
      <w:r w:rsidR="00EE28EA">
        <w:t>1</w:t>
      </w:r>
      <w:r w:rsidRPr="00350644">
        <w:t>% от потребности)</w:t>
      </w:r>
      <w:r w:rsidR="00EE28EA">
        <w:t xml:space="preserve">, </w:t>
      </w:r>
      <w:r w:rsidR="00EE28EA" w:rsidRPr="00EE28EA">
        <w:t>на 202</w:t>
      </w:r>
      <w:r w:rsidR="00EE28EA">
        <w:t>5</w:t>
      </w:r>
      <w:r w:rsidR="00EE28EA" w:rsidRPr="00EE28EA">
        <w:t>год расчетная оценка ~ 1438</w:t>
      </w:r>
      <w:r w:rsidR="00EE28EA">
        <w:t>6</w:t>
      </w:r>
      <w:r w:rsidR="00EE28EA" w:rsidRPr="00EE28EA">
        <w:t xml:space="preserve"> тыс. руб., предлагается проектом – 8</w:t>
      </w:r>
      <w:r w:rsidR="00EE28EA">
        <w:t>691</w:t>
      </w:r>
      <w:r w:rsidR="00EE28EA" w:rsidRPr="00EE28EA">
        <w:t>тыс.руб. (6</w:t>
      </w:r>
      <w:r w:rsidR="00EE28EA">
        <w:t>0</w:t>
      </w:r>
      <w:r w:rsidR="00EE28EA" w:rsidRPr="00EE28EA">
        <w:t>% от потребности)</w:t>
      </w:r>
      <w:r w:rsidR="00EE28EA">
        <w:t>.</w:t>
      </w:r>
      <w:r w:rsidR="00EE28EA" w:rsidRPr="00EE28EA">
        <w:t xml:space="preserve">  </w:t>
      </w:r>
    </w:p>
    <w:p w14:paraId="3F73C3BB" w14:textId="148CE59F" w:rsidR="00EE28EA" w:rsidRDefault="00EE28EA" w:rsidP="00EE28EA">
      <w:pPr>
        <w:ind w:firstLine="567"/>
        <w:jc w:val="both"/>
      </w:pPr>
      <w:r>
        <w:t>У</w:t>
      </w:r>
      <w:r w:rsidRPr="00EE28EA">
        <w:t xml:space="preserve">становлено неполное обеспечение действующих расходных обязательств в части </w:t>
      </w:r>
      <w:r>
        <w:t xml:space="preserve">социальных обязательств по выплате </w:t>
      </w:r>
      <w:r w:rsidRPr="00EE28EA">
        <w:t>ежемесячной доплаты к трудовой пенсии лицам, замещавшим должности муниципальной службы</w:t>
      </w:r>
      <w:r>
        <w:t xml:space="preserve">. Так, </w:t>
      </w:r>
      <w:r w:rsidR="00777914" w:rsidRPr="00777914">
        <w:t xml:space="preserve">расчетная оценка ~ </w:t>
      </w:r>
      <w:r w:rsidR="00777914">
        <w:t>354,1</w:t>
      </w:r>
      <w:r w:rsidR="00777914" w:rsidRPr="00777914">
        <w:t xml:space="preserve"> тыс. руб</w:t>
      </w:r>
      <w:r w:rsidR="00777914">
        <w:t xml:space="preserve">. (14754*2*12), </w:t>
      </w:r>
      <w:r>
        <w:t xml:space="preserve">предлагается проектом к утверждению </w:t>
      </w:r>
      <w:r w:rsidR="00777914">
        <w:t xml:space="preserve">на 2023 год в сумме 340,7 тыс. руб. (96% от потребности), </w:t>
      </w:r>
      <w:r>
        <w:t>на каждый год планового периода</w:t>
      </w:r>
      <w:r w:rsidR="00777914">
        <w:t xml:space="preserve"> предлагается к утверждению по 257 тыс.руб., или 72,5% от потребности. </w:t>
      </w:r>
    </w:p>
    <w:p w14:paraId="7C51C3B3" w14:textId="1FA7F3D3" w:rsidR="00777914" w:rsidRDefault="00777914" w:rsidP="00EE28EA">
      <w:pPr>
        <w:ind w:firstLine="567"/>
        <w:jc w:val="both"/>
      </w:pPr>
      <w:r>
        <w:t>Вместе с тем следует отметить, что п</w:t>
      </w:r>
      <w:r w:rsidRPr="00777914">
        <w:t xml:space="preserve">о сложившейся практике по мере корректировки доходной части бюджета, будут увеличиваться и бюджетные ассигнования на финансовое обеспечение </w:t>
      </w:r>
      <w:r>
        <w:t>расходных обязательств бюджета поселения.</w:t>
      </w:r>
    </w:p>
    <w:p w14:paraId="201FCA97" w14:textId="77777777" w:rsidR="008A5935" w:rsidRDefault="005467A2" w:rsidP="00777914">
      <w:pPr>
        <w:ind w:firstLine="567"/>
        <w:jc w:val="both"/>
      </w:pPr>
      <w:r>
        <w:t>6.</w:t>
      </w:r>
      <w:r w:rsidRPr="005467A2">
        <w:t xml:space="preserve"> </w:t>
      </w:r>
      <w:r w:rsidR="00777914">
        <w:t>В нарушение приказа Минфина России от 24 мая 2022 г. N 82н "О Порядке формирования и применения кодов бюджетной классификации Российской Федерации, их структуре и принципах назначения" п</w:t>
      </w:r>
      <w:r w:rsidR="00777914" w:rsidRPr="00777914">
        <w:t>о подразделу</w:t>
      </w:r>
      <w:r w:rsidR="00777914">
        <w:t xml:space="preserve"> 0104 «</w:t>
      </w:r>
      <w:r w:rsidR="00777914" w:rsidRPr="00777914">
        <w:t xml:space="preserve">Функционирование местных администраций" запланированы бюджетные ассигнования по 2 тыс.руб. ежегодно на реализацию муниципальной программы «Профилактика наркомании, алкоголизма и их социальных последствий на территории Каразейского муниципального образования на 2020-2025 годы», утвержденной постановлением администрации от 14.10.2019 № 46. Также необходимо отметить, что паспортом программы предусмотрен объем средств на все пять лет реализации программы 2020-2025годы в общей сумме всего 2тыс.руб., а проектом бюджета предлагается к утверждению на каждый год по 2 тыс.руб. Кроме того, согласно паспорта МП, программа должна финансироваться исключительно спонсорскими </w:t>
      </w:r>
      <w:r w:rsidR="00777914" w:rsidRPr="00777914">
        <w:lastRenderedPageBreak/>
        <w:t xml:space="preserve">средствами, а не средствами местного бюджета. А поскольку в доходной части бюджета не прогнозируется поступление спонсорской помощи, то и в расходной части предусматривать финансирование мероприятий МП нет оснований. Таким образом, объемы ресурсного обеспечения реализации муниципальной программы, утвержденного нормативным актом местной администрации, на весь трехлетний период не соответствуют проекту решения о бюджете. Следовательно, данная муниципальная программа должна быть приведена в соответствие решению о бюджете не позднее трех месяцев со дня вступления его в силу, либо </w:t>
      </w:r>
      <w:r w:rsidR="00777914">
        <w:t xml:space="preserve">следует </w:t>
      </w:r>
      <w:r w:rsidR="00777914" w:rsidRPr="00777914">
        <w:t xml:space="preserve">исключить данные бюджетные ассигнования из проекта бюджета. </w:t>
      </w:r>
    </w:p>
    <w:p w14:paraId="5304F0D8" w14:textId="5C91A46E" w:rsidR="00D80372" w:rsidRDefault="00777914" w:rsidP="00777914">
      <w:pPr>
        <w:ind w:firstLine="567"/>
        <w:jc w:val="both"/>
      </w:pPr>
      <w:r w:rsidRPr="00777914">
        <w:t xml:space="preserve">Администрацией поселения при формировании </w:t>
      </w:r>
      <w:r w:rsidR="008A5935">
        <w:t xml:space="preserve">предыдущего </w:t>
      </w:r>
      <w:r w:rsidRPr="00777914">
        <w:t>проекта бюджета на 2022год и плановый период 2023-2024годов также были предусмотрены бюджетные ассигнования на реализацию мероприятий МП «Профилактика наркомании, алкоголизма и их социальных последствий на территории Каразейского муниципального образования на 2020-2025 годы» по 2 тыс. руб. ежегодно, однако, данные расходы так и остались на стадии проекта. В дальнейшем указанные бюджетные ассигнования решением Думы не утверждались и, соответственно, не исполнялись.</w:t>
      </w:r>
    </w:p>
    <w:p w14:paraId="7F986203" w14:textId="77777777" w:rsidR="00D80372" w:rsidRDefault="00D80372" w:rsidP="00D80372">
      <w:pPr>
        <w:ind w:left="-170" w:firstLine="567"/>
        <w:jc w:val="both"/>
      </w:pPr>
    </w:p>
    <w:p w14:paraId="13F4FB3D" w14:textId="07D9E179" w:rsidR="00D80372" w:rsidRPr="006110B1" w:rsidRDefault="00D80372" w:rsidP="00D80372">
      <w:pPr>
        <w:shd w:val="clear" w:color="auto" w:fill="FFFFFF"/>
        <w:ind w:firstLine="567"/>
        <w:jc w:val="both"/>
        <w:rPr>
          <w:b/>
        </w:rPr>
      </w:pPr>
      <w:r w:rsidRPr="00373EC6">
        <w:rPr>
          <w:b/>
        </w:rPr>
        <w:t>Данный проект бюджета Каразейс</w:t>
      </w:r>
      <w:r w:rsidR="00875BC9">
        <w:rPr>
          <w:b/>
        </w:rPr>
        <w:t xml:space="preserve">кого сельского поселения на </w:t>
      </w:r>
      <w:r w:rsidR="000E76FA">
        <w:rPr>
          <w:b/>
        </w:rPr>
        <w:t>2023</w:t>
      </w:r>
      <w:r w:rsidRPr="00373EC6">
        <w:rPr>
          <w:b/>
        </w:rPr>
        <w:t xml:space="preserve"> год и плановый период </w:t>
      </w:r>
      <w:r w:rsidR="000E76FA">
        <w:rPr>
          <w:b/>
        </w:rPr>
        <w:t>2024</w:t>
      </w:r>
      <w:r w:rsidR="00875BC9">
        <w:rPr>
          <w:b/>
        </w:rPr>
        <w:t xml:space="preserve"> и </w:t>
      </w:r>
      <w:r w:rsidR="000E76FA">
        <w:rPr>
          <w:b/>
        </w:rPr>
        <w:t>2025</w:t>
      </w:r>
      <w:r w:rsidRPr="00373EC6">
        <w:rPr>
          <w:b/>
        </w:rPr>
        <w:t xml:space="preserve"> годов КСП </w:t>
      </w:r>
      <w:r w:rsidR="008A5935">
        <w:rPr>
          <w:b/>
        </w:rPr>
        <w:t xml:space="preserve">может быть </w:t>
      </w:r>
      <w:r w:rsidRPr="00373EC6">
        <w:rPr>
          <w:b/>
        </w:rPr>
        <w:t>рекомендован к принятию</w:t>
      </w:r>
      <w:r w:rsidR="00EB1E96">
        <w:t>.</w:t>
      </w:r>
    </w:p>
    <w:p w14:paraId="3857073C" w14:textId="77777777" w:rsidR="00D80372" w:rsidRDefault="00D80372" w:rsidP="00D80372">
      <w:pPr>
        <w:shd w:val="clear" w:color="auto" w:fill="FFFFFF"/>
        <w:ind w:firstLine="567"/>
        <w:jc w:val="both"/>
      </w:pPr>
    </w:p>
    <w:p w14:paraId="7DBD6BD9" w14:textId="77777777" w:rsidR="00D80372" w:rsidRDefault="00D80372" w:rsidP="00D80372">
      <w:pPr>
        <w:shd w:val="clear" w:color="auto" w:fill="FFFFFF"/>
        <w:ind w:firstLine="567"/>
        <w:jc w:val="both"/>
      </w:pPr>
    </w:p>
    <w:p w14:paraId="66DF68FA" w14:textId="77777777" w:rsidR="00D80372" w:rsidRDefault="00D80372" w:rsidP="00D80372">
      <w:pPr>
        <w:shd w:val="clear" w:color="auto" w:fill="FFFFFF"/>
        <w:ind w:firstLine="567"/>
        <w:jc w:val="both"/>
      </w:pPr>
    </w:p>
    <w:p w14:paraId="23CB367C" w14:textId="50A86CDF" w:rsidR="00D80372" w:rsidRPr="00A441D3" w:rsidRDefault="00EB1E96" w:rsidP="00D80372">
      <w:r>
        <w:t>Аудитор</w:t>
      </w:r>
      <w:r w:rsidR="00D80372">
        <w:t xml:space="preserve"> </w:t>
      </w:r>
      <w:r w:rsidR="00D80372" w:rsidRPr="00A441D3">
        <w:t xml:space="preserve">Контрольно-счетной палаты </w:t>
      </w:r>
    </w:p>
    <w:p w14:paraId="45F5E998" w14:textId="155F2FEB" w:rsidR="00D80372" w:rsidRPr="00A441D3" w:rsidRDefault="00D80372" w:rsidP="00D80372">
      <w:r w:rsidRPr="00A441D3">
        <w:t>муниципального образования Куйтунский р</w:t>
      </w:r>
      <w:r>
        <w:t xml:space="preserve">айон        ____________       </w:t>
      </w:r>
      <w:r w:rsidR="00EB1E96">
        <w:t>С. В. Герасименко</w:t>
      </w:r>
      <w:r w:rsidRPr="00A441D3">
        <w:t xml:space="preserve">    </w:t>
      </w:r>
    </w:p>
    <w:p w14:paraId="060F4F0E" w14:textId="77777777" w:rsidR="00D80372" w:rsidRDefault="00D80372" w:rsidP="00D80372"/>
    <w:p w14:paraId="14586F9B" w14:textId="77777777" w:rsidR="00D80372" w:rsidRDefault="00D80372" w:rsidP="00D80372">
      <w:pPr>
        <w:shd w:val="clear" w:color="auto" w:fill="FFFFFF"/>
        <w:ind w:firstLine="567"/>
        <w:jc w:val="both"/>
      </w:pPr>
    </w:p>
    <w:p w14:paraId="1FBE4488" w14:textId="77777777" w:rsidR="00436DE7" w:rsidRDefault="00436DE7"/>
    <w:sectPr w:rsidR="00436DE7" w:rsidSect="00FC782C">
      <w:footerReference w:type="even" r:id="rId10"/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A252A" w14:textId="77777777" w:rsidR="0021190E" w:rsidRDefault="0021190E">
      <w:r>
        <w:separator/>
      </w:r>
    </w:p>
  </w:endnote>
  <w:endnote w:type="continuationSeparator" w:id="0">
    <w:p w14:paraId="284A15FF" w14:textId="77777777" w:rsidR="0021190E" w:rsidRDefault="0021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A9D8" w14:textId="77777777" w:rsidR="00715072" w:rsidRDefault="00715072" w:rsidP="000C52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758ABA" w14:textId="77777777" w:rsidR="00715072" w:rsidRDefault="00715072" w:rsidP="000C52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CE04" w14:textId="77777777" w:rsidR="00715072" w:rsidRDefault="00715072" w:rsidP="000C52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5D8E53EE" w14:textId="77777777" w:rsidR="00715072" w:rsidRDefault="00715072" w:rsidP="000C52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16730" w14:textId="77777777" w:rsidR="0021190E" w:rsidRDefault="0021190E">
      <w:r>
        <w:separator/>
      </w:r>
    </w:p>
  </w:footnote>
  <w:footnote w:type="continuationSeparator" w:id="0">
    <w:p w14:paraId="724F694D" w14:textId="77777777" w:rsidR="0021190E" w:rsidRDefault="0021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707"/>
    <w:multiLevelType w:val="hybridMultilevel"/>
    <w:tmpl w:val="47EA5962"/>
    <w:lvl w:ilvl="0" w:tplc="8CAE697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60655DF"/>
    <w:multiLevelType w:val="hybridMultilevel"/>
    <w:tmpl w:val="E08ACCE4"/>
    <w:lvl w:ilvl="0" w:tplc="D5DE5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1E4BA8"/>
    <w:multiLevelType w:val="hybridMultilevel"/>
    <w:tmpl w:val="7B68D384"/>
    <w:lvl w:ilvl="0" w:tplc="FFDC675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115350E5"/>
    <w:multiLevelType w:val="hybridMultilevel"/>
    <w:tmpl w:val="9714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D5B93"/>
    <w:multiLevelType w:val="hybridMultilevel"/>
    <w:tmpl w:val="476AFAA8"/>
    <w:lvl w:ilvl="0" w:tplc="6296A49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EB6766B"/>
    <w:multiLevelType w:val="hybridMultilevel"/>
    <w:tmpl w:val="B226FE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535FBF"/>
    <w:multiLevelType w:val="multilevel"/>
    <w:tmpl w:val="E35278C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2"/>
      <w:numFmt w:val="decimal"/>
      <w:lvlText w:val="%1.%2"/>
      <w:lvlJc w:val="left"/>
      <w:pPr>
        <w:tabs>
          <w:tab w:val="num" w:pos="952"/>
        </w:tabs>
        <w:ind w:left="952" w:hanging="840"/>
      </w:pPr>
    </w:lvl>
    <w:lvl w:ilvl="2">
      <w:start w:val="16"/>
      <w:numFmt w:val="decimal"/>
      <w:lvlText w:val="%1.%2.%3"/>
      <w:lvlJc w:val="left"/>
      <w:pPr>
        <w:tabs>
          <w:tab w:val="num" w:pos="1064"/>
        </w:tabs>
        <w:ind w:left="1064" w:hanging="840"/>
      </w:p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</w:lvl>
  </w:abstractNum>
  <w:abstractNum w:abstractNumId="7" w15:restartNumberingAfterBreak="0">
    <w:nsid w:val="24271942"/>
    <w:multiLevelType w:val="hybridMultilevel"/>
    <w:tmpl w:val="2760FF6A"/>
    <w:lvl w:ilvl="0" w:tplc="EED4014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D832485"/>
    <w:multiLevelType w:val="hybridMultilevel"/>
    <w:tmpl w:val="8006EF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D31EFE"/>
    <w:multiLevelType w:val="hybridMultilevel"/>
    <w:tmpl w:val="3064F54E"/>
    <w:lvl w:ilvl="0" w:tplc="9A5E8D1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30A3DA3"/>
    <w:multiLevelType w:val="hybridMultilevel"/>
    <w:tmpl w:val="5C5EDC88"/>
    <w:lvl w:ilvl="0" w:tplc="5A4EF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B25ED"/>
    <w:multiLevelType w:val="hybridMultilevel"/>
    <w:tmpl w:val="EEE43810"/>
    <w:lvl w:ilvl="0" w:tplc="D03E62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B0E3D"/>
    <w:multiLevelType w:val="hybridMultilevel"/>
    <w:tmpl w:val="0EB0C28E"/>
    <w:lvl w:ilvl="0" w:tplc="E4DEA15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D84DDC"/>
    <w:multiLevelType w:val="hybridMultilevel"/>
    <w:tmpl w:val="6910F9D8"/>
    <w:lvl w:ilvl="0" w:tplc="8572D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3A2DF0"/>
    <w:multiLevelType w:val="hybridMultilevel"/>
    <w:tmpl w:val="751AF778"/>
    <w:lvl w:ilvl="0" w:tplc="C7D842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3585B"/>
    <w:multiLevelType w:val="multilevel"/>
    <w:tmpl w:val="C234E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 w15:restartNumberingAfterBreak="0">
    <w:nsid w:val="3EA15D9F"/>
    <w:multiLevelType w:val="hybridMultilevel"/>
    <w:tmpl w:val="94B6752C"/>
    <w:lvl w:ilvl="0" w:tplc="0D66843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59809E6"/>
    <w:multiLevelType w:val="hybridMultilevel"/>
    <w:tmpl w:val="2F623C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060D90"/>
    <w:multiLevelType w:val="hybridMultilevel"/>
    <w:tmpl w:val="CA281940"/>
    <w:lvl w:ilvl="0" w:tplc="BA10A4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EC5218C"/>
    <w:multiLevelType w:val="hybridMultilevel"/>
    <w:tmpl w:val="2F7E6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2210D"/>
    <w:multiLevelType w:val="hybridMultilevel"/>
    <w:tmpl w:val="A6989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A41268"/>
    <w:multiLevelType w:val="hybridMultilevel"/>
    <w:tmpl w:val="FB3E062C"/>
    <w:lvl w:ilvl="0" w:tplc="829E45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54132A6F"/>
    <w:multiLevelType w:val="hybridMultilevel"/>
    <w:tmpl w:val="CCF210EA"/>
    <w:lvl w:ilvl="0" w:tplc="21B20F2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B1A3E47"/>
    <w:multiLevelType w:val="hybridMultilevel"/>
    <w:tmpl w:val="7990EAC0"/>
    <w:lvl w:ilvl="0" w:tplc="8CAE895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D2817B7"/>
    <w:multiLevelType w:val="multilevel"/>
    <w:tmpl w:val="1A7A2FF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817"/>
        </w:tabs>
        <w:ind w:left="817" w:hanging="705"/>
      </w:p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</w:lvl>
  </w:abstractNum>
  <w:abstractNum w:abstractNumId="25" w15:restartNumberingAfterBreak="0">
    <w:nsid w:val="5DE42BA5"/>
    <w:multiLevelType w:val="hybridMultilevel"/>
    <w:tmpl w:val="5F34D834"/>
    <w:lvl w:ilvl="0" w:tplc="7C647F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F7B2B68"/>
    <w:multiLevelType w:val="hybridMultilevel"/>
    <w:tmpl w:val="2E887D54"/>
    <w:lvl w:ilvl="0" w:tplc="92286BC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055F"/>
    <w:multiLevelType w:val="hybridMultilevel"/>
    <w:tmpl w:val="788C3598"/>
    <w:lvl w:ilvl="0" w:tplc="34FABA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F67823"/>
    <w:multiLevelType w:val="hybridMultilevel"/>
    <w:tmpl w:val="029088EE"/>
    <w:lvl w:ilvl="0" w:tplc="F1E0CB8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E9B058F"/>
    <w:multiLevelType w:val="hybridMultilevel"/>
    <w:tmpl w:val="0892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B2140"/>
    <w:multiLevelType w:val="multilevel"/>
    <w:tmpl w:val="3CA2824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0A13044"/>
    <w:multiLevelType w:val="hybridMultilevel"/>
    <w:tmpl w:val="010C600E"/>
    <w:lvl w:ilvl="0" w:tplc="6FD0F68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510FE5C">
      <w:numFmt w:val="none"/>
      <w:lvlText w:val=""/>
      <w:lvlJc w:val="left"/>
      <w:pPr>
        <w:tabs>
          <w:tab w:val="num" w:pos="360"/>
        </w:tabs>
      </w:pPr>
    </w:lvl>
    <w:lvl w:ilvl="2" w:tplc="D968F70E">
      <w:numFmt w:val="none"/>
      <w:lvlText w:val=""/>
      <w:lvlJc w:val="left"/>
      <w:pPr>
        <w:tabs>
          <w:tab w:val="num" w:pos="360"/>
        </w:tabs>
      </w:pPr>
    </w:lvl>
    <w:lvl w:ilvl="3" w:tplc="783C3802">
      <w:numFmt w:val="none"/>
      <w:lvlText w:val=""/>
      <w:lvlJc w:val="left"/>
      <w:pPr>
        <w:tabs>
          <w:tab w:val="num" w:pos="360"/>
        </w:tabs>
      </w:pPr>
    </w:lvl>
    <w:lvl w:ilvl="4" w:tplc="F2B00682">
      <w:numFmt w:val="none"/>
      <w:lvlText w:val=""/>
      <w:lvlJc w:val="left"/>
      <w:pPr>
        <w:tabs>
          <w:tab w:val="num" w:pos="360"/>
        </w:tabs>
      </w:pPr>
    </w:lvl>
    <w:lvl w:ilvl="5" w:tplc="2DD24228">
      <w:numFmt w:val="none"/>
      <w:lvlText w:val=""/>
      <w:lvlJc w:val="left"/>
      <w:pPr>
        <w:tabs>
          <w:tab w:val="num" w:pos="360"/>
        </w:tabs>
      </w:pPr>
    </w:lvl>
    <w:lvl w:ilvl="6" w:tplc="5260A32C">
      <w:numFmt w:val="none"/>
      <w:lvlText w:val=""/>
      <w:lvlJc w:val="left"/>
      <w:pPr>
        <w:tabs>
          <w:tab w:val="num" w:pos="360"/>
        </w:tabs>
      </w:pPr>
    </w:lvl>
    <w:lvl w:ilvl="7" w:tplc="6DD0214A">
      <w:numFmt w:val="none"/>
      <w:lvlText w:val=""/>
      <w:lvlJc w:val="left"/>
      <w:pPr>
        <w:tabs>
          <w:tab w:val="num" w:pos="360"/>
        </w:tabs>
      </w:pPr>
    </w:lvl>
    <w:lvl w:ilvl="8" w:tplc="55A039E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1094837"/>
    <w:multiLevelType w:val="hybridMultilevel"/>
    <w:tmpl w:val="2BD288BC"/>
    <w:lvl w:ilvl="0" w:tplc="063229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90443"/>
    <w:multiLevelType w:val="multilevel"/>
    <w:tmpl w:val="3CA2824A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3F266B2"/>
    <w:multiLevelType w:val="hybridMultilevel"/>
    <w:tmpl w:val="EB361B2C"/>
    <w:lvl w:ilvl="0" w:tplc="E1A63B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73FA06B0"/>
    <w:multiLevelType w:val="hybridMultilevel"/>
    <w:tmpl w:val="A3CE8988"/>
    <w:lvl w:ilvl="0" w:tplc="8B44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B7588"/>
    <w:multiLevelType w:val="hybridMultilevel"/>
    <w:tmpl w:val="847634AE"/>
    <w:lvl w:ilvl="0" w:tplc="6E12307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5017E67"/>
    <w:multiLevelType w:val="hybridMultilevel"/>
    <w:tmpl w:val="1DB40AA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95804EF"/>
    <w:multiLevelType w:val="hybridMultilevel"/>
    <w:tmpl w:val="37B0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9D5B17"/>
    <w:multiLevelType w:val="hybridMultilevel"/>
    <w:tmpl w:val="4B568CA4"/>
    <w:lvl w:ilvl="0" w:tplc="7E3C4A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B43172F"/>
    <w:multiLevelType w:val="hybridMultilevel"/>
    <w:tmpl w:val="37EA55E4"/>
    <w:lvl w:ilvl="0" w:tplc="B150D2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B856896"/>
    <w:multiLevelType w:val="hybridMultilevel"/>
    <w:tmpl w:val="A19C827A"/>
    <w:lvl w:ilvl="0" w:tplc="BDFA987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95520"/>
    <w:multiLevelType w:val="hybridMultilevel"/>
    <w:tmpl w:val="E026D348"/>
    <w:lvl w:ilvl="0" w:tplc="EAE62F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ECB7E29"/>
    <w:multiLevelType w:val="hybridMultilevel"/>
    <w:tmpl w:val="AF9EE208"/>
    <w:lvl w:ilvl="0" w:tplc="E288FD8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5"/>
  </w:num>
  <w:num w:numId="2">
    <w:abstractNumId w:val="38"/>
  </w:num>
  <w:num w:numId="3">
    <w:abstractNumId w:val="17"/>
  </w:num>
  <w:num w:numId="4">
    <w:abstractNumId w:val="20"/>
  </w:num>
  <w:num w:numId="5">
    <w:abstractNumId w:val="7"/>
  </w:num>
  <w:num w:numId="6">
    <w:abstractNumId w:val="2"/>
  </w:num>
  <w:num w:numId="7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3"/>
  </w:num>
  <w:num w:numId="19">
    <w:abstractNumId w:val="0"/>
  </w:num>
  <w:num w:numId="20">
    <w:abstractNumId w:val="25"/>
  </w:num>
  <w:num w:numId="21">
    <w:abstractNumId w:val="9"/>
  </w:num>
  <w:num w:numId="22">
    <w:abstractNumId w:val="23"/>
  </w:num>
  <w:num w:numId="23">
    <w:abstractNumId w:val="42"/>
  </w:num>
  <w:num w:numId="24">
    <w:abstractNumId w:val="39"/>
  </w:num>
  <w:num w:numId="25">
    <w:abstractNumId w:val="22"/>
  </w:num>
  <w:num w:numId="26">
    <w:abstractNumId w:val="15"/>
  </w:num>
  <w:num w:numId="27">
    <w:abstractNumId w:val="21"/>
  </w:num>
  <w:num w:numId="28">
    <w:abstractNumId w:val="18"/>
  </w:num>
  <w:num w:numId="29">
    <w:abstractNumId w:val="36"/>
  </w:num>
  <w:num w:numId="30">
    <w:abstractNumId w:val="27"/>
  </w:num>
  <w:num w:numId="31">
    <w:abstractNumId w:val="16"/>
  </w:num>
  <w:num w:numId="32">
    <w:abstractNumId w:val="31"/>
  </w:num>
  <w:num w:numId="33">
    <w:abstractNumId w:val="30"/>
  </w:num>
  <w:num w:numId="34">
    <w:abstractNumId w:val="40"/>
  </w:num>
  <w:num w:numId="35">
    <w:abstractNumId w:val="43"/>
  </w:num>
  <w:num w:numId="36">
    <w:abstractNumId w:val="28"/>
  </w:num>
  <w:num w:numId="37">
    <w:abstractNumId w:val="37"/>
  </w:num>
  <w:num w:numId="38">
    <w:abstractNumId w:val="8"/>
  </w:num>
  <w:num w:numId="39">
    <w:abstractNumId w:val="5"/>
  </w:num>
  <w:num w:numId="40">
    <w:abstractNumId w:val="19"/>
  </w:num>
  <w:num w:numId="41">
    <w:abstractNumId w:val="29"/>
  </w:num>
  <w:num w:numId="42">
    <w:abstractNumId w:val="13"/>
  </w:num>
  <w:num w:numId="43">
    <w:abstractNumId w:val="1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A2"/>
    <w:rsid w:val="000043C4"/>
    <w:rsid w:val="000057FA"/>
    <w:rsid w:val="000320F1"/>
    <w:rsid w:val="00041C1A"/>
    <w:rsid w:val="000556E6"/>
    <w:rsid w:val="00070925"/>
    <w:rsid w:val="00070D5A"/>
    <w:rsid w:val="00071AF4"/>
    <w:rsid w:val="00075FF4"/>
    <w:rsid w:val="0008119B"/>
    <w:rsid w:val="00095638"/>
    <w:rsid w:val="000A19DD"/>
    <w:rsid w:val="000C116D"/>
    <w:rsid w:val="000C46E0"/>
    <w:rsid w:val="000C5254"/>
    <w:rsid w:val="000D490E"/>
    <w:rsid w:val="000E721E"/>
    <w:rsid w:val="000E76FA"/>
    <w:rsid w:val="000F7668"/>
    <w:rsid w:val="0011485C"/>
    <w:rsid w:val="00115F2E"/>
    <w:rsid w:val="001230F0"/>
    <w:rsid w:val="00126C57"/>
    <w:rsid w:val="00131D49"/>
    <w:rsid w:val="001349AB"/>
    <w:rsid w:val="00136A61"/>
    <w:rsid w:val="00164687"/>
    <w:rsid w:val="00171165"/>
    <w:rsid w:val="00173F8B"/>
    <w:rsid w:val="00175AB8"/>
    <w:rsid w:val="00177FAC"/>
    <w:rsid w:val="00181C0F"/>
    <w:rsid w:val="00182605"/>
    <w:rsid w:val="00185BF7"/>
    <w:rsid w:val="001A3905"/>
    <w:rsid w:val="001C5F36"/>
    <w:rsid w:val="001D2DB7"/>
    <w:rsid w:val="001D45F6"/>
    <w:rsid w:val="001E040F"/>
    <w:rsid w:val="001E1318"/>
    <w:rsid w:val="001E56DF"/>
    <w:rsid w:val="001F3A19"/>
    <w:rsid w:val="001F5D3B"/>
    <w:rsid w:val="001F780E"/>
    <w:rsid w:val="001F7DAF"/>
    <w:rsid w:val="00201DA3"/>
    <w:rsid w:val="0020311A"/>
    <w:rsid w:val="00204A59"/>
    <w:rsid w:val="0020646C"/>
    <w:rsid w:val="0021190E"/>
    <w:rsid w:val="00211D12"/>
    <w:rsid w:val="00211FA1"/>
    <w:rsid w:val="00215D07"/>
    <w:rsid w:val="00221926"/>
    <w:rsid w:val="00225A9A"/>
    <w:rsid w:val="00230BE7"/>
    <w:rsid w:val="00231D42"/>
    <w:rsid w:val="00232282"/>
    <w:rsid w:val="00233EAB"/>
    <w:rsid w:val="00234580"/>
    <w:rsid w:val="00242F87"/>
    <w:rsid w:val="00252763"/>
    <w:rsid w:val="00260BBB"/>
    <w:rsid w:val="00264616"/>
    <w:rsid w:val="00273E70"/>
    <w:rsid w:val="0029274B"/>
    <w:rsid w:val="002A663E"/>
    <w:rsid w:val="002A7964"/>
    <w:rsid w:val="002C31C3"/>
    <w:rsid w:val="002C3931"/>
    <w:rsid w:val="002C64A9"/>
    <w:rsid w:val="002D147F"/>
    <w:rsid w:val="002E2C97"/>
    <w:rsid w:val="003074DB"/>
    <w:rsid w:val="00310255"/>
    <w:rsid w:val="00325350"/>
    <w:rsid w:val="00327BDD"/>
    <w:rsid w:val="00341842"/>
    <w:rsid w:val="00343B2D"/>
    <w:rsid w:val="00350604"/>
    <w:rsid w:val="00350644"/>
    <w:rsid w:val="00356CF9"/>
    <w:rsid w:val="00365860"/>
    <w:rsid w:val="0039084C"/>
    <w:rsid w:val="00396879"/>
    <w:rsid w:val="003A168B"/>
    <w:rsid w:val="003B25E1"/>
    <w:rsid w:val="003C2375"/>
    <w:rsid w:val="003D63AB"/>
    <w:rsid w:val="003F0482"/>
    <w:rsid w:val="00403BE9"/>
    <w:rsid w:val="00404A25"/>
    <w:rsid w:val="00413BBA"/>
    <w:rsid w:val="00421FC2"/>
    <w:rsid w:val="00427D6E"/>
    <w:rsid w:val="004326F1"/>
    <w:rsid w:val="00436DE7"/>
    <w:rsid w:val="00446B1C"/>
    <w:rsid w:val="00447B77"/>
    <w:rsid w:val="004551A8"/>
    <w:rsid w:val="00482114"/>
    <w:rsid w:val="00497B84"/>
    <w:rsid w:val="004B04D0"/>
    <w:rsid w:val="004B475D"/>
    <w:rsid w:val="004B6071"/>
    <w:rsid w:val="004B7319"/>
    <w:rsid w:val="004C3C0E"/>
    <w:rsid w:val="004C56B4"/>
    <w:rsid w:val="004D04DD"/>
    <w:rsid w:val="004E0678"/>
    <w:rsid w:val="004E27E6"/>
    <w:rsid w:val="004F2F3C"/>
    <w:rsid w:val="00505781"/>
    <w:rsid w:val="0050658D"/>
    <w:rsid w:val="00513329"/>
    <w:rsid w:val="00531087"/>
    <w:rsid w:val="00532027"/>
    <w:rsid w:val="005331BE"/>
    <w:rsid w:val="005338D3"/>
    <w:rsid w:val="00537E51"/>
    <w:rsid w:val="0054036B"/>
    <w:rsid w:val="005467A2"/>
    <w:rsid w:val="0055749C"/>
    <w:rsid w:val="0056224D"/>
    <w:rsid w:val="0057573A"/>
    <w:rsid w:val="005759C5"/>
    <w:rsid w:val="00584E89"/>
    <w:rsid w:val="00590573"/>
    <w:rsid w:val="005A6BB3"/>
    <w:rsid w:val="005A6DB9"/>
    <w:rsid w:val="005A7735"/>
    <w:rsid w:val="005A7877"/>
    <w:rsid w:val="005B069F"/>
    <w:rsid w:val="005C3DEC"/>
    <w:rsid w:val="005D43E8"/>
    <w:rsid w:val="005D6DC3"/>
    <w:rsid w:val="005F1F45"/>
    <w:rsid w:val="005F6CC4"/>
    <w:rsid w:val="00615BE1"/>
    <w:rsid w:val="00615CB4"/>
    <w:rsid w:val="00625F47"/>
    <w:rsid w:val="00647FC7"/>
    <w:rsid w:val="00660ABB"/>
    <w:rsid w:val="006763AB"/>
    <w:rsid w:val="006A0488"/>
    <w:rsid w:val="006A1B1E"/>
    <w:rsid w:val="006B21F0"/>
    <w:rsid w:val="006B3F65"/>
    <w:rsid w:val="006C17BB"/>
    <w:rsid w:val="006D2D9A"/>
    <w:rsid w:val="006E002E"/>
    <w:rsid w:val="0070264A"/>
    <w:rsid w:val="007037F9"/>
    <w:rsid w:val="007105E6"/>
    <w:rsid w:val="00715072"/>
    <w:rsid w:val="00720636"/>
    <w:rsid w:val="007321DA"/>
    <w:rsid w:val="007430AB"/>
    <w:rsid w:val="00747053"/>
    <w:rsid w:val="00754873"/>
    <w:rsid w:val="007557F5"/>
    <w:rsid w:val="00761740"/>
    <w:rsid w:val="00777914"/>
    <w:rsid w:val="00777CB1"/>
    <w:rsid w:val="007815AE"/>
    <w:rsid w:val="007826F3"/>
    <w:rsid w:val="007A238F"/>
    <w:rsid w:val="007A61BA"/>
    <w:rsid w:val="007C565A"/>
    <w:rsid w:val="007D1471"/>
    <w:rsid w:val="007E44BF"/>
    <w:rsid w:val="007E530A"/>
    <w:rsid w:val="007F2BA6"/>
    <w:rsid w:val="007F6937"/>
    <w:rsid w:val="0080560C"/>
    <w:rsid w:val="00820A6D"/>
    <w:rsid w:val="00822FC4"/>
    <w:rsid w:val="008312E6"/>
    <w:rsid w:val="0084306A"/>
    <w:rsid w:val="00857AF4"/>
    <w:rsid w:val="00861185"/>
    <w:rsid w:val="00875BC9"/>
    <w:rsid w:val="00880839"/>
    <w:rsid w:val="00883958"/>
    <w:rsid w:val="00897726"/>
    <w:rsid w:val="008A21D4"/>
    <w:rsid w:val="008A5935"/>
    <w:rsid w:val="008B6404"/>
    <w:rsid w:val="008B6835"/>
    <w:rsid w:val="008C4A3C"/>
    <w:rsid w:val="008E3D74"/>
    <w:rsid w:val="008F22E1"/>
    <w:rsid w:val="008F2D25"/>
    <w:rsid w:val="008F5186"/>
    <w:rsid w:val="008F6863"/>
    <w:rsid w:val="00905146"/>
    <w:rsid w:val="0091026F"/>
    <w:rsid w:val="0095070C"/>
    <w:rsid w:val="009530CB"/>
    <w:rsid w:val="009549D4"/>
    <w:rsid w:val="00964264"/>
    <w:rsid w:val="009650A6"/>
    <w:rsid w:val="00966066"/>
    <w:rsid w:val="00966338"/>
    <w:rsid w:val="00972D90"/>
    <w:rsid w:val="00973594"/>
    <w:rsid w:val="009843A5"/>
    <w:rsid w:val="00985063"/>
    <w:rsid w:val="00990CB2"/>
    <w:rsid w:val="0099186E"/>
    <w:rsid w:val="00992FEB"/>
    <w:rsid w:val="00995ECC"/>
    <w:rsid w:val="009E1196"/>
    <w:rsid w:val="009F6A96"/>
    <w:rsid w:val="00A13A95"/>
    <w:rsid w:val="00A142A2"/>
    <w:rsid w:val="00A14B2A"/>
    <w:rsid w:val="00A17204"/>
    <w:rsid w:val="00A350CB"/>
    <w:rsid w:val="00A423F6"/>
    <w:rsid w:val="00A4277B"/>
    <w:rsid w:val="00A446BD"/>
    <w:rsid w:val="00A45DB5"/>
    <w:rsid w:val="00A47233"/>
    <w:rsid w:val="00A56FE0"/>
    <w:rsid w:val="00A641A0"/>
    <w:rsid w:val="00A74AB0"/>
    <w:rsid w:val="00A76BAE"/>
    <w:rsid w:val="00AB0841"/>
    <w:rsid w:val="00AB5DA8"/>
    <w:rsid w:val="00AC7894"/>
    <w:rsid w:val="00AD1332"/>
    <w:rsid w:val="00AE0147"/>
    <w:rsid w:val="00AE080E"/>
    <w:rsid w:val="00AF4B0C"/>
    <w:rsid w:val="00B01BC1"/>
    <w:rsid w:val="00B025D0"/>
    <w:rsid w:val="00B045B0"/>
    <w:rsid w:val="00B077C0"/>
    <w:rsid w:val="00B221FE"/>
    <w:rsid w:val="00B26C57"/>
    <w:rsid w:val="00B31BB4"/>
    <w:rsid w:val="00B4213F"/>
    <w:rsid w:val="00B46377"/>
    <w:rsid w:val="00B47759"/>
    <w:rsid w:val="00B73A26"/>
    <w:rsid w:val="00B77476"/>
    <w:rsid w:val="00B82571"/>
    <w:rsid w:val="00B84EA2"/>
    <w:rsid w:val="00B92AF5"/>
    <w:rsid w:val="00B92F6E"/>
    <w:rsid w:val="00B97A11"/>
    <w:rsid w:val="00BA1FCD"/>
    <w:rsid w:val="00BB5C53"/>
    <w:rsid w:val="00BC08B5"/>
    <w:rsid w:val="00BC4CFF"/>
    <w:rsid w:val="00BD6052"/>
    <w:rsid w:val="00BE16F2"/>
    <w:rsid w:val="00BE22BD"/>
    <w:rsid w:val="00BE3F53"/>
    <w:rsid w:val="00BE4B8E"/>
    <w:rsid w:val="00C07D5A"/>
    <w:rsid w:val="00C138CD"/>
    <w:rsid w:val="00C3239B"/>
    <w:rsid w:val="00C42971"/>
    <w:rsid w:val="00C43ACF"/>
    <w:rsid w:val="00C46175"/>
    <w:rsid w:val="00C46A9D"/>
    <w:rsid w:val="00C5251E"/>
    <w:rsid w:val="00C56789"/>
    <w:rsid w:val="00C613FD"/>
    <w:rsid w:val="00C65461"/>
    <w:rsid w:val="00C6715B"/>
    <w:rsid w:val="00C71E2B"/>
    <w:rsid w:val="00C73E61"/>
    <w:rsid w:val="00C83758"/>
    <w:rsid w:val="00C84133"/>
    <w:rsid w:val="00C940CB"/>
    <w:rsid w:val="00C97C61"/>
    <w:rsid w:val="00CB4F67"/>
    <w:rsid w:val="00CB7260"/>
    <w:rsid w:val="00CB75DF"/>
    <w:rsid w:val="00CC2B92"/>
    <w:rsid w:val="00CD52FA"/>
    <w:rsid w:val="00CE3213"/>
    <w:rsid w:val="00CE4603"/>
    <w:rsid w:val="00CF35A8"/>
    <w:rsid w:val="00CF6BC8"/>
    <w:rsid w:val="00D1291B"/>
    <w:rsid w:val="00D1485F"/>
    <w:rsid w:val="00D17E47"/>
    <w:rsid w:val="00D20C6E"/>
    <w:rsid w:val="00D22078"/>
    <w:rsid w:val="00D2764F"/>
    <w:rsid w:val="00D365C5"/>
    <w:rsid w:val="00D56A80"/>
    <w:rsid w:val="00D759EA"/>
    <w:rsid w:val="00D80372"/>
    <w:rsid w:val="00D9234C"/>
    <w:rsid w:val="00DA1480"/>
    <w:rsid w:val="00DB4412"/>
    <w:rsid w:val="00DB4547"/>
    <w:rsid w:val="00DC5E8A"/>
    <w:rsid w:val="00DD763C"/>
    <w:rsid w:val="00DE0B4A"/>
    <w:rsid w:val="00DF42A8"/>
    <w:rsid w:val="00E0149A"/>
    <w:rsid w:val="00E2024B"/>
    <w:rsid w:val="00E309AB"/>
    <w:rsid w:val="00E33532"/>
    <w:rsid w:val="00E37902"/>
    <w:rsid w:val="00E42742"/>
    <w:rsid w:val="00E50320"/>
    <w:rsid w:val="00E506D7"/>
    <w:rsid w:val="00E75347"/>
    <w:rsid w:val="00E818E2"/>
    <w:rsid w:val="00E84A83"/>
    <w:rsid w:val="00E84D04"/>
    <w:rsid w:val="00E97001"/>
    <w:rsid w:val="00EA2035"/>
    <w:rsid w:val="00EA3494"/>
    <w:rsid w:val="00EB1E96"/>
    <w:rsid w:val="00EB2F08"/>
    <w:rsid w:val="00EC34A1"/>
    <w:rsid w:val="00EE28EA"/>
    <w:rsid w:val="00EE5078"/>
    <w:rsid w:val="00EF06BA"/>
    <w:rsid w:val="00EF4CAE"/>
    <w:rsid w:val="00EF4FBF"/>
    <w:rsid w:val="00EF6D0F"/>
    <w:rsid w:val="00EF79C7"/>
    <w:rsid w:val="00F01DBC"/>
    <w:rsid w:val="00F04692"/>
    <w:rsid w:val="00F10BA1"/>
    <w:rsid w:val="00F13BF6"/>
    <w:rsid w:val="00F47B4B"/>
    <w:rsid w:val="00F62429"/>
    <w:rsid w:val="00F731F8"/>
    <w:rsid w:val="00F73F05"/>
    <w:rsid w:val="00F81BB4"/>
    <w:rsid w:val="00F9720A"/>
    <w:rsid w:val="00FA4523"/>
    <w:rsid w:val="00FB471D"/>
    <w:rsid w:val="00FC12AE"/>
    <w:rsid w:val="00FC3E4F"/>
    <w:rsid w:val="00FC782C"/>
    <w:rsid w:val="00FD1AFC"/>
    <w:rsid w:val="00FD759D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1887"/>
  <w15:chartTrackingRefBased/>
  <w15:docId w15:val="{19F0CC5B-53D8-41DC-9730-4DF71557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3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7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rsid w:val="00D803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0372"/>
  </w:style>
  <w:style w:type="table" w:styleId="a6">
    <w:name w:val="Table Grid"/>
    <w:basedOn w:val="a1"/>
    <w:rsid w:val="00D8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80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 Знак,Знак"/>
    <w:basedOn w:val="a"/>
    <w:link w:val="aa"/>
    <w:rsid w:val="00D80372"/>
    <w:pPr>
      <w:spacing w:after="120"/>
    </w:pPr>
  </w:style>
  <w:style w:type="character" w:customStyle="1" w:styleId="aa">
    <w:name w:val="Основной текст Знак"/>
    <w:aliases w:val=" Знак Знак,Знак Знак"/>
    <w:basedOn w:val="a0"/>
    <w:link w:val="a9"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D803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803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80372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D80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0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03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D80372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styleId="ad">
    <w:name w:val="Body Text Indent"/>
    <w:basedOn w:val="a"/>
    <w:link w:val="ae"/>
    <w:rsid w:val="00D8037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80372"/>
    <w:pPr>
      <w:suppressAutoHyphens/>
      <w:ind w:right="-96" w:firstLine="567"/>
      <w:jc w:val="center"/>
    </w:pPr>
    <w:rPr>
      <w:rFonts w:eastAsia="Arial"/>
      <w:b/>
      <w:sz w:val="28"/>
      <w:szCs w:val="20"/>
      <w:lang w:eastAsia="ar-SA"/>
    </w:rPr>
  </w:style>
  <w:style w:type="paragraph" w:customStyle="1" w:styleId="ConsNonformat">
    <w:name w:val="ConsNonformat"/>
    <w:rsid w:val="00D8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CYR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80372"/>
    <w:pPr>
      <w:spacing w:before="100" w:beforeAutospacing="1" w:after="100" w:afterAutospacing="1"/>
    </w:pPr>
  </w:style>
  <w:style w:type="character" w:customStyle="1" w:styleId="af0">
    <w:name w:val="Гипертекстовая ссылка"/>
    <w:uiPriority w:val="99"/>
    <w:rsid w:val="00D80372"/>
    <w:rPr>
      <w:color w:val="106BBE"/>
    </w:rPr>
  </w:style>
  <w:style w:type="character" w:customStyle="1" w:styleId="af1">
    <w:name w:val="Цветовое выделение"/>
    <w:uiPriority w:val="99"/>
    <w:rsid w:val="00D8037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803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5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4193548387096769E-2"/>
          <c:y val="4.2654028436018961E-2"/>
          <c:w val="0.9258064516129032"/>
          <c:h val="0.672985781990521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999FF" mc:Ignorable="a14" a14:legacySpreadsheetColorIndex="2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факт 2021г.</c:v>
                </c:pt>
                <c:pt idx="1">
                  <c:v>оценка 2022г. </c:v>
                </c:pt>
                <c:pt idx="2">
                  <c:v>проект 2023г</c:v>
                </c:pt>
                <c:pt idx="3">
                  <c:v>прогноз 2024г.</c:v>
                </c:pt>
                <c:pt idx="4">
                  <c:v>прогноз 2025г.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3801.4</c:v>
                </c:pt>
                <c:pt idx="1">
                  <c:v>4855.3999999999996</c:v>
                </c:pt>
                <c:pt idx="2">
                  <c:v>4889.6000000000004</c:v>
                </c:pt>
                <c:pt idx="3">
                  <c:v>5071</c:v>
                </c:pt>
                <c:pt idx="4">
                  <c:v>5152.6000000000004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E6C7-43EC-872F-8F5EFD317EA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8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факт 2021г.</c:v>
                </c:pt>
                <c:pt idx="1">
                  <c:v>оценка 2022г. </c:v>
                </c:pt>
                <c:pt idx="2">
                  <c:v>проект 2023г</c:v>
                </c:pt>
                <c:pt idx="3">
                  <c:v>прогноз 2024г.</c:v>
                </c:pt>
                <c:pt idx="4">
                  <c:v>прогноз 2025г.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54</c:v>
                </c:pt>
                <c:pt idx="1">
                  <c:v>74.900000000000006</c:v>
                </c:pt>
                <c:pt idx="2">
                  <c:v>94.9</c:v>
                </c:pt>
                <c:pt idx="3">
                  <c:v>94.9</c:v>
                </c:pt>
                <c:pt idx="4">
                  <c:v>94.9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C7-43EC-872F-8F5EFD317EA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 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факт 2021г.</c:v>
                </c:pt>
                <c:pt idx="1">
                  <c:v>оценка 2022г. </c:v>
                </c:pt>
                <c:pt idx="2">
                  <c:v>проект 2023г</c:v>
                </c:pt>
                <c:pt idx="3">
                  <c:v>прогноз 2024г.</c:v>
                </c:pt>
                <c:pt idx="4">
                  <c:v>прогноз 2025г.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29071.7</c:v>
                </c:pt>
                <c:pt idx="1">
                  <c:v>15440.6</c:v>
                </c:pt>
                <c:pt idx="2">
                  <c:v>9971</c:v>
                </c:pt>
                <c:pt idx="3">
                  <c:v>8153.5</c:v>
                </c:pt>
                <c:pt idx="4">
                  <c:v>9303.4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C7-43EC-872F-8F5EFD317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0"/>
        <c:shape val="box"/>
        <c:axId val="176578968"/>
        <c:axId val="176578184"/>
        <c:axId val="0"/>
      </c:bar3DChart>
      <c:catAx>
        <c:axId val="176578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5781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6578184"/>
        <c:scaling>
          <c:orientation val="minMax"/>
          <c:max val="30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578968"/>
        <c:crosses val="autoZero"/>
        <c:crossBetween val="between"/>
        <c:majorUnit val="50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4677419354838708"/>
          <c:y val="0.87677725118483407"/>
          <c:w val="0.68387096774193545"/>
          <c:h val="0.109004739336492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2022г.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Общегос. расходы</c:v>
                </c:pt>
                <c:pt idx="1">
                  <c:v>Нац.оборона</c:v>
                </c:pt>
                <c:pt idx="2">
                  <c:v>Нац.безопасн.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Соц.политика</c:v>
                </c:pt>
                <c:pt idx="8">
                  <c:v>Физ. культура</c:v>
                </c:pt>
                <c:pt idx="9">
                  <c:v>МБТ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6405.2</c:v>
                </c:pt>
                <c:pt idx="1">
                  <c:v>151.6</c:v>
                </c:pt>
                <c:pt idx="2">
                  <c:v>40</c:v>
                </c:pt>
                <c:pt idx="3">
                  <c:v>1792.4</c:v>
                </c:pt>
                <c:pt idx="4">
                  <c:v>1861.4</c:v>
                </c:pt>
                <c:pt idx="5">
                  <c:v>42</c:v>
                </c:pt>
                <c:pt idx="6">
                  <c:v>7246.9</c:v>
                </c:pt>
                <c:pt idx="7">
                  <c:v>340.7</c:v>
                </c:pt>
                <c:pt idx="8">
                  <c:v>4497.5</c:v>
                </c:pt>
                <c:pt idx="9">
                  <c:v>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E9-4CC0-B14A-E65E178D43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Проект 2023г.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Общегос. расходы</c:v>
                </c:pt>
                <c:pt idx="1">
                  <c:v>Нац.оборона</c:v>
                </c:pt>
                <c:pt idx="2">
                  <c:v>Нац.безопасн.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Соц.политика</c:v>
                </c:pt>
                <c:pt idx="8">
                  <c:v>Физ. культура</c:v>
                </c:pt>
                <c:pt idx="9">
                  <c:v>МБТ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5410.6</c:v>
                </c:pt>
                <c:pt idx="1">
                  <c:v>173.7</c:v>
                </c:pt>
                <c:pt idx="2">
                  <c:v>30</c:v>
                </c:pt>
                <c:pt idx="3">
                  <c:v>1237.5999999999999</c:v>
                </c:pt>
                <c:pt idx="4">
                  <c:v>637.6</c:v>
                </c:pt>
                <c:pt idx="5">
                  <c:v>34</c:v>
                </c:pt>
                <c:pt idx="6">
                  <c:v>6308.4</c:v>
                </c:pt>
                <c:pt idx="7">
                  <c:v>340.7</c:v>
                </c:pt>
                <c:pt idx="8">
                  <c:v>55</c:v>
                </c:pt>
                <c:pt idx="9">
                  <c:v>727.9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E9-4CC0-B14A-E65E178D43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Общегос. расходы</c:v>
                </c:pt>
                <c:pt idx="1">
                  <c:v>Нац.оборона</c:v>
                </c:pt>
                <c:pt idx="2">
                  <c:v>Нац.безопасн.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Соц.политика</c:v>
                </c:pt>
                <c:pt idx="8">
                  <c:v>Физ. культура</c:v>
                </c:pt>
                <c:pt idx="9">
                  <c:v>МБТ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DCE9-4CC0-B14A-E65E178D4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6577400"/>
        <c:axId val="176839824"/>
        <c:axId val="0"/>
      </c:bar3DChart>
      <c:catAx>
        <c:axId val="176577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39824"/>
        <c:crosses val="autoZero"/>
        <c:auto val="1"/>
        <c:lblAlgn val="ctr"/>
        <c:lblOffset val="100"/>
        <c:noMultiLvlLbl val="0"/>
      </c:catAx>
      <c:valAx>
        <c:axId val="176839824"/>
        <c:scaling>
          <c:orientation val="minMax"/>
          <c:max val="67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577400"/>
        <c:crosses val="autoZero"/>
        <c:crossBetween val="between"/>
        <c:majorUnit val="500"/>
      </c:valAx>
      <c:spPr>
        <a:noFill/>
        <a:ln w="25325">
          <a:noFill/>
        </a:ln>
      </c:spPr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93DB-9FFF-4160-8839-0EEEF1EC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16</Pages>
  <Words>7848</Words>
  <Characters>44737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2022-11-16T08:14:00Z</cp:lastPrinted>
  <dcterms:created xsi:type="dcterms:W3CDTF">2020-12-11T00:21:00Z</dcterms:created>
  <dcterms:modified xsi:type="dcterms:W3CDTF">2022-11-29T08:40:00Z</dcterms:modified>
</cp:coreProperties>
</file>