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3D81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CCD638B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3E7091A1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14:paraId="7F8FA7EC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14:paraId="452A1227" w14:textId="77777777" w:rsidR="00D80372" w:rsidRDefault="00D80372" w:rsidP="00D80372">
      <w:pPr>
        <w:ind w:right="-365"/>
        <w:jc w:val="center"/>
        <w:rPr>
          <w:b/>
          <w:sz w:val="28"/>
          <w:szCs w:val="28"/>
        </w:rPr>
      </w:pPr>
    </w:p>
    <w:p w14:paraId="7A074119" w14:textId="385B7EC5" w:rsidR="00D80372" w:rsidRPr="002424E7" w:rsidRDefault="00D80372" w:rsidP="00D80372">
      <w:pPr>
        <w:ind w:left="360"/>
        <w:jc w:val="center"/>
        <w:rPr>
          <w:b/>
        </w:rPr>
      </w:pPr>
      <w:r w:rsidRPr="00944969">
        <w:rPr>
          <w:b/>
        </w:rPr>
        <w:t xml:space="preserve">Заключение КСП </w:t>
      </w:r>
      <w:r w:rsidRPr="0087108E">
        <w:rPr>
          <w:b/>
        </w:rPr>
        <w:t xml:space="preserve">№ </w:t>
      </w:r>
      <w:r w:rsidR="002C3931" w:rsidRPr="0087108E">
        <w:rPr>
          <w:b/>
        </w:rPr>
        <w:t>2</w:t>
      </w:r>
      <w:r w:rsidR="0087108E" w:rsidRPr="0087108E">
        <w:rPr>
          <w:b/>
        </w:rPr>
        <w:t>7</w:t>
      </w:r>
    </w:p>
    <w:p w14:paraId="0359619C" w14:textId="434D30AF" w:rsidR="00D80372" w:rsidRPr="00026C14" w:rsidRDefault="00D80372" w:rsidP="00D80372">
      <w:pPr>
        <w:jc w:val="center"/>
        <w:rPr>
          <w:b/>
        </w:rPr>
      </w:pPr>
      <w:r w:rsidRPr="00944969">
        <w:rPr>
          <w:b/>
          <w:color w:val="FF0000"/>
        </w:rPr>
        <w:t xml:space="preserve"> </w:t>
      </w:r>
      <w:r w:rsidRPr="00026C14">
        <w:rPr>
          <w:b/>
        </w:rPr>
        <w:t xml:space="preserve">по результатам экспертизы проекта бюджета </w:t>
      </w:r>
      <w:proofErr w:type="spellStart"/>
      <w:r>
        <w:rPr>
          <w:b/>
        </w:rPr>
        <w:t>Каразейского</w:t>
      </w:r>
      <w:proofErr w:type="spellEnd"/>
      <w:r w:rsidRPr="00026C14">
        <w:rPr>
          <w:b/>
        </w:rPr>
        <w:t xml:space="preserve">  </w:t>
      </w:r>
    </w:p>
    <w:p w14:paraId="17024529" w14:textId="43960309" w:rsidR="00D80372" w:rsidRPr="00026C14" w:rsidRDefault="00D80372" w:rsidP="00D80372">
      <w:pPr>
        <w:ind w:left="-567" w:right="-285"/>
        <w:jc w:val="center"/>
        <w:rPr>
          <w:b/>
        </w:rPr>
      </w:pPr>
      <w:r>
        <w:rPr>
          <w:b/>
        </w:rPr>
        <w:t>муниципального образования</w:t>
      </w:r>
      <w:r w:rsidRPr="00026C14">
        <w:rPr>
          <w:b/>
        </w:rPr>
        <w:t xml:space="preserve"> на </w:t>
      </w:r>
      <w:r w:rsidR="000E76FA">
        <w:rPr>
          <w:b/>
        </w:rPr>
        <w:t>202</w:t>
      </w:r>
      <w:r w:rsidR="00962928" w:rsidRPr="00962928">
        <w:rPr>
          <w:b/>
        </w:rPr>
        <w:t>4</w:t>
      </w:r>
      <w:r w:rsidRPr="00026C14">
        <w:rPr>
          <w:b/>
        </w:rPr>
        <w:t xml:space="preserve"> год </w:t>
      </w:r>
      <w:r>
        <w:rPr>
          <w:b/>
        </w:rPr>
        <w:t xml:space="preserve">и плановый период </w:t>
      </w:r>
      <w:r w:rsidR="000E76FA">
        <w:rPr>
          <w:b/>
        </w:rPr>
        <w:t>202</w:t>
      </w:r>
      <w:r w:rsidR="00962928" w:rsidRPr="00962928">
        <w:rPr>
          <w:b/>
        </w:rPr>
        <w:t>5</w:t>
      </w:r>
      <w:r>
        <w:rPr>
          <w:b/>
        </w:rPr>
        <w:t xml:space="preserve"> и </w:t>
      </w:r>
      <w:r w:rsidR="000E76FA">
        <w:rPr>
          <w:b/>
        </w:rPr>
        <w:t>202</w:t>
      </w:r>
      <w:r w:rsidR="00962928" w:rsidRPr="00962928">
        <w:rPr>
          <w:b/>
        </w:rPr>
        <w:t>6</w:t>
      </w:r>
      <w:r>
        <w:rPr>
          <w:b/>
        </w:rPr>
        <w:t xml:space="preserve"> годов.</w:t>
      </w:r>
    </w:p>
    <w:p w14:paraId="4D24052B" w14:textId="77777777" w:rsidR="00D80372" w:rsidRPr="00026C14" w:rsidRDefault="00D80372" w:rsidP="00D80372">
      <w:pPr>
        <w:ind w:left="360"/>
        <w:jc w:val="center"/>
        <w:rPr>
          <w:color w:val="FF0000"/>
        </w:rPr>
      </w:pPr>
    </w:p>
    <w:p w14:paraId="79E72333" w14:textId="7EB98465" w:rsidR="00D80372" w:rsidRPr="00026C14" w:rsidRDefault="00D80372" w:rsidP="00D80372">
      <w:pPr>
        <w:jc w:val="both"/>
      </w:pPr>
      <w:proofErr w:type="spellStart"/>
      <w:r w:rsidRPr="00026C14">
        <w:t>р.п</w:t>
      </w:r>
      <w:proofErr w:type="spellEnd"/>
      <w:r w:rsidRPr="00026C14">
        <w:t xml:space="preserve">. Куйтун                                                                                                    </w:t>
      </w:r>
      <w:r>
        <w:t xml:space="preserve">     </w:t>
      </w:r>
      <w:r w:rsidR="00D560E0" w:rsidRPr="00D560E0">
        <w:t>20</w:t>
      </w:r>
      <w:r w:rsidR="000C5254" w:rsidRPr="00D560E0">
        <w:t xml:space="preserve"> ноября</w:t>
      </w:r>
      <w:r w:rsidRPr="00D560E0">
        <w:t xml:space="preserve"> </w:t>
      </w:r>
      <w:r w:rsidR="000C5254" w:rsidRPr="00D560E0">
        <w:t>202</w:t>
      </w:r>
      <w:r w:rsidR="00D560E0" w:rsidRPr="00D560E0">
        <w:t>3</w:t>
      </w:r>
      <w:r w:rsidRPr="00D560E0">
        <w:t xml:space="preserve"> г.</w:t>
      </w:r>
    </w:p>
    <w:p w14:paraId="333E60E7" w14:textId="77777777" w:rsidR="00D80372" w:rsidRDefault="00D80372" w:rsidP="00D80372">
      <w:pPr>
        <w:ind w:left="360"/>
        <w:jc w:val="center"/>
        <w:rPr>
          <w:b/>
        </w:rPr>
      </w:pPr>
      <w:r w:rsidRPr="00026C14">
        <w:rPr>
          <w:b/>
        </w:rPr>
        <w:t>1. Общее положение</w:t>
      </w:r>
    </w:p>
    <w:p w14:paraId="7B183DAE" w14:textId="526D0924" w:rsidR="00D80372" w:rsidRDefault="00D80372" w:rsidP="00D80372">
      <w:pPr>
        <w:ind w:firstLine="567"/>
        <w:jc w:val="both"/>
      </w:pPr>
      <w:r w:rsidRPr="00A441D3">
        <w:t xml:space="preserve">Заключение КСП по результатам экспертизы проекта бюджета </w:t>
      </w:r>
      <w:proofErr w:type="spellStart"/>
      <w:r>
        <w:t>Каразейского</w:t>
      </w:r>
      <w:proofErr w:type="spellEnd"/>
      <w:r w:rsidRPr="00A441D3">
        <w:t xml:space="preserve">  </w:t>
      </w:r>
      <w:r>
        <w:t>муниципального образования</w:t>
      </w:r>
      <w:r w:rsidRPr="00A441D3">
        <w:t xml:space="preserve">  на </w:t>
      </w:r>
      <w:r w:rsidR="000E76FA">
        <w:t>202</w:t>
      </w:r>
      <w:r w:rsidR="00962928" w:rsidRPr="00962928">
        <w:t>4</w:t>
      </w:r>
      <w:r w:rsidRPr="00A441D3">
        <w:t xml:space="preserve"> год</w:t>
      </w:r>
      <w:r>
        <w:t xml:space="preserve"> и плановый период </w:t>
      </w:r>
      <w:r w:rsidR="000E76FA">
        <w:t>202</w:t>
      </w:r>
      <w:r w:rsidR="00962928" w:rsidRPr="00962928">
        <w:t>5</w:t>
      </w:r>
      <w:r w:rsidR="000C5254">
        <w:t xml:space="preserve"> и </w:t>
      </w:r>
      <w:r w:rsidR="000E76FA">
        <w:t>202</w:t>
      </w:r>
      <w:r w:rsidR="00962928" w:rsidRPr="00962928">
        <w:t>6</w:t>
      </w:r>
      <w:r>
        <w:t xml:space="preserve"> годов</w:t>
      </w:r>
      <w:r w:rsidRPr="00A441D3">
        <w:t xml:space="preserve"> </w:t>
      </w:r>
      <w:r>
        <w:t xml:space="preserve">(далее – Проект, проект бюджета) </w:t>
      </w:r>
      <w:r w:rsidRPr="00A441D3">
        <w:t xml:space="preserve">подготовлено  в соответствии  с </w:t>
      </w:r>
      <w:r>
        <w:t>бюджетными полномочиями Контрольно-счетной палаты района, определенными</w:t>
      </w:r>
      <w:r w:rsidRPr="00A441D3">
        <w:t xml:space="preserve"> п. 2 ст. 157 Бюджетного кодекса Российской Федерации</w:t>
      </w:r>
      <w:r>
        <w:t xml:space="preserve"> (далее – БК РФ)</w:t>
      </w:r>
      <w:r w:rsidRPr="00A441D3">
        <w:t xml:space="preserve">, </w:t>
      </w:r>
      <w:r>
        <w:t xml:space="preserve"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</w:t>
      </w:r>
      <w:proofErr w:type="spellStart"/>
      <w:r>
        <w:t>Каразейского</w:t>
      </w:r>
      <w:proofErr w:type="spellEnd"/>
      <w:r>
        <w:t xml:space="preserve"> МО «Об утверждении положения о бюджетном процессе в </w:t>
      </w:r>
      <w:proofErr w:type="spellStart"/>
      <w:r>
        <w:t>Каразейском</w:t>
      </w:r>
      <w:proofErr w:type="spellEnd"/>
      <w:r>
        <w:t xml:space="preserve"> МО», </w:t>
      </w:r>
      <w:r w:rsidRPr="00A441D3">
        <w:t>Соглашением о передаче полномочий по организации осуществления внешнего</w:t>
      </w:r>
      <w:r w:rsidRPr="00A441D3">
        <w:rPr>
          <w:sz w:val="20"/>
          <w:szCs w:val="20"/>
        </w:rPr>
        <w:t xml:space="preserve"> </w:t>
      </w:r>
      <w:r w:rsidRPr="00A441D3">
        <w:t xml:space="preserve">муниципального финансового контроля в </w:t>
      </w:r>
      <w:proofErr w:type="spellStart"/>
      <w:r>
        <w:t>Каразей</w:t>
      </w:r>
      <w:r w:rsidRPr="00A441D3">
        <w:t>ском</w:t>
      </w:r>
      <w:proofErr w:type="spellEnd"/>
      <w:r w:rsidRPr="00A441D3">
        <w:t xml:space="preserve"> муниципальном образовании на 20</w:t>
      </w:r>
      <w:r>
        <w:t>2</w:t>
      </w:r>
      <w:r w:rsidR="00962928" w:rsidRPr="00962928">
        <w:t xml:space="preserve">3 </w:t>
      </w:r>
      <w:r w:rsidRPr="00A441D3">
        <w:t xml:space="preserve">год и плановый период </w:t>
      </w:r>
      <w:r>
        <w:t>202</w:t>
      </w:r>
      <w:r w:rsidR="00962928" w:rsidRPr="00962928">
        <w:t>4</w:t>
      </w:r>
      <w:r>
        <w:t xml:space="preserve"> </w:t>
      </w:r>
      <w:r w:rsidRPr="00A441D3">
        <w:t xml:space="preserve">и </w:t>
      </w:r>
      <w:r w:rsidR="000E76FA">
        <w:t>202</w:t>
      </w:r>
      <w:r w:rsidR="00962928" w:rsidRPr="00962928">
        <w:t>5</w:t>
      </w:r>
      <w:r w:rsidR="00BD6052">
        <w:t xml:space="preserve"> </w:t>
      </w:r>
      <w:r w:rsidRPr="00A441D3">
        <w:t xml:space="preserve">годов,  планом работы </w:t>
      </w:r>
      <w:r>
        <w:t>КСП на 202</w:t>
      </w:r>
      <w:r w:rsidR="00962928" w:rsidRPr="00962928">
        <w:t xml:space="preserve">3 </w:t>
      </w:r>
      <w:r w:rsidRPr="00A441D3">
        <w:t>год.</w:t>
      </w:r>
    </w:p>
    <w:p w14:paraId="7A67AA79" w14:textId="15D27A00" w:rsidR="001840E6" w:rsidRPr="00A441D3" w:rsidRDefault="001840E6" w:rsidP="001840E6">
      <w:pPr>
        <w:ind w:firstLine="567"/>
        <w:jc w:val="both"/>
      </w:pPr>
      <w:r w:rsidRPr="00A441D3">
        <w:t xml:space="preserve">Экспертиза проекта бюджета </w:t>
      </w:r>
      <w:proofErr w:type="spellStart"/>
      <w:r>
        <w:t>Каразейского</w:t>
      </w:r>
      <w:proofErr w:type="spellEnd"/>
      <w:r w:rsidRPr="00A441D3">
        <w:t xml:space="preserve"> сельского поселения (далее – поселение, муниципальное образование) на </w:t>
      </w:r>
      <w:r>
        <w:t>2024</w:t>
      </w:r>
      <w:r w:rsidRPr="00A441D3">
        <w:t xml:space="preserve"> год</w:t>
      </w:r>
      <w:r>
        <w:t xml:space="preserve"> и плановый период 2025 и 2026 годов</w:t>
      </w:r>
      <w:r w:rsidRPr="00A441D3">
        <w:t xml:space="preserve"> проведена в целях определения </w:t>
      </w:r>
      <w:r>
        <w:t>соответствия Проекта бюджетному законодательству, отсутствия противоречий с другими нормативными правовыми актами и документами стратегического планирования, а также формирование мотивированного заключения по результатам оценки  полноты обоснованности и достоверности плановых (прогнозных) показателей в Проекте бюджета.</w:t>
      </w:r>
    </w:p>
    <w:p w14:paraId="50C1BC64" w14:textId="17FDD663" w:rsidR="00D80372" w:rsidRDefault="00D80372" w:rsidP="00D80372">
      <w:pPr>
        <w:ind w:firstLine="567"/>
        <w:jc w:val="both"/>
      </w:pPr>
      <w:r w:rsidRPr="0070084B">
        <w:t xml:space="preserve">В соответствии </w:t>
      </w:r>
      <w:r w:rsidRPr="00E43ACD">
        <w:t xml:space="preserve">со </w:t>
      </w:r>
      <w:r w:rsidRPr="00E43AC7">
        <w:t>ст.12</w:t>
      </w:r>
      <w:r w:rsidRPr="0070084B">
        <w:t xml:space="preserve"> Положения «О бюджетном процессе в </w:t>
      </w:r>
      <w:proofErr w:type="spellStart"/>
      <w:r>
        <w:t>Каразей</w:t>
      </w:r>
      <w:r w:rsidRPr="0070084B">
        <w:t>ском</w:t>
      </w:r>
      <w:proofErr w:type="spellEnd"/>
      <w:r w:rsidRPr="0070084B">
        <w:t xml:space="preserve"> муниципальном образовании»</w:t>
      </w:r>
      <w:r w:rsidR="001840E6">
        <w:t xml:space="preserve">, утвержденного решением Думы от </w:t>
      </w:r>
      <w:r w:rsidR="002D728C">
        <w:t>28.03.2019г. №57, проект</w:t>
      </w:r>
      <w:r w:rsidRPr="0070084B">
        <w:t xml:space="preserve"> бюджета составлен </w:t>
      </w:r>
      <w:r w:rsidR="00C96776">
        <w:t xml:space="preserve">сроком </w:t>
      </w:r>
      <w:r w:rsidRPr="0070084B">
        <w:t>на три года: очередной финансовый год (</w:t>
      </w:r>
      <w:r w:rsidR="000E76FA">
        <w:t>202</w:t>
      </w:r>
      <w:r w:rsidR="002D728C">
        <w:t>4</w:t>
      </w:r>
      <w:r w:rsidRPr="0070084B">
        <w:t>г.) и плановый период (</w:t>
      </w:r>
      <w:r w:rsidR="000E76FA">
        <w:t>202</w:t>
      </w:r>
      <w:r w:rsidR="002D728C">
        <w:t>5</w:t>
      </w:r>
      <w:r w:rsidRPr="0070084B">
        <w:t xml:space="preserve"> и </w:t>
      </w:r>
      <w:r w:rsidR="000E76FA">
        <w:t>202</w:t>
      </w:r>
      <w:r w:rsidR="002D728C">
        <w:t>6</w:t>
      </w:r>
      <w:r w:rsidR="00C96776">
        <w:t xml:space="preserve"> годы</w:t>
      </w:r>
      <w:r w:rsidRPr="0070084B">
        <w:t>). Проект бюджета сформирован непрограммным методом.</w:t>
      </w:r>
    </w:p>
    <w:p w14:paraId="33653BA5" w14:textId="38A625D8" w:rsidR="00F47B4B" w:rsidRPr="00F47B4B" w:rsidRDefault="00D80372" w:rsidP="00D80372">
      <w:pPr>
        <w:ind w:firstLine="567"/>
        <w:jc w:val="both"/>
      </w:pPr>
      <w:r>
        <w:t xml:space="preserve">Проект бюджета внесен на рассмотрение в Думу </w:t>
      </w:r>
      <w:proofErr w:type="spellStart"/>
      <w:r>
        <w:t>Каразейского</w:t>
      </w:r>
      <w:proofErr w:type="spellEnd"/>
      <w:r>
        <w:t xml:space="preserve"> муниципального образования в срок, </w:t>
      </w:r>
      <w:r w:rsidRPr="00597F5E">
        <w:t>установленный ст</w:t>
      </w:r>
      <w:r w:rsidRPr="00D015C9">
        <w:t>. 26 Положения</w:t>
      </w:r>
      <w:r w:rsidRPr="00597F5E">
        <w:t xml:space="preserve"> о бюджетном процессе</w:t>
      </w:r>
      <w:r w:rsidR="00E0149A">
        <w:t xml:space="preserve"> и ст.185 БК РФ</w:t>
      </w:r>
      <w:r w:rsidRPr="00597F5E">
        <w:t xml:space="preserve"> (не п</w:t>
      </w:r>
      <w:r>
        <w:t xml:space="preserve">озднее 15 ноября текущего года), постановлением администрации </w:t>
      </w:r>
      <w:proofErr w:type="spellStart"/>
      <w:r>
        <w:t>Каразейского</w:t>
      </w:r>
      <w:proofErr w:type="spellEnd"/>
      <w:r>
        <w:t xml:space="preserve"> МО от 1</w:t>
      </w:r>
      <w:r w:rsidR="00FB3D7B">
        <w:t>0</w:t>
      </w:r>
      <w:r>
        <w:t>.11.202</w:t>
      </w:r>
      <w:r w:rsidR="00E0149A">
        <w:t>2</w:t>
      </w:r>
      <w:r>
        <w:t xml:space="preserve">г. № </w:t>
      </w:r>
      <w:r w:rsidR="00F47B4B">
        <w:t>3</w:t>
      </w:r>
      <w:r w:rsidR="00FB3D7B">
        <w:t>7</w:t>
      </w:r>
      <w:r>
        <w:t>.</w:t>
      </w:r>
      <w:r w:rsidRPr="00597F5E">
        <w:t xml:space="preserve"> </w:t>
      </w:r>
      <w:r>
        <w:t>С</w:t>
      </w:r>
      <w:r w:rsidRPr="0083080B">
        <w:t>татьей</w:t>
      </w:r>
      <w:r>
        <w:t xml:space="preserve"> 27 Положения о бюджетном процессе</w:t>
      </w:r>
      <w:r w:rsidRPr="0083080B">
        <w:t xml:space="preserve"> определено, что в течение суток со дня внесения проекта решения о бюджете в Думу председатель Думы направляет его в орган внешнего муниципального финансового контроля.</w:t>
      </w:r>
      <w:r>
        <w:t xml:space="preserve"> </w:t>
      </w:r>
      <w:r w:rsidRPr="00F47B4B">
        <w:t>Проект представлен в КСП 1</w:t>
      </w:r>
      <w:r w:rsidR="00FB3D7B">
        <w:t>3</w:t>
      </w:r>
      <w:r w:rsidRPr="00F47B4B">
        <w:t>.11.202</w:t>
      </w:r>
      <w:r w:rsidR="00FB3D7B">
        <w:t>3</w:t>
      </w:r>
      <w:r w:rsidR="00990CB2">
        <w:t xml:space="preserve"> года</w:t>
      </w:r>
      <w:r w:rsidR="00E0149A">
        <w:t>,</w:t>
      </w:r>
      <w:r w:rsidR="00E0149A" w:rsidRPr="00E0149A">
        <w:t xml:space="preserve"> </w:t>
      </w:r>
      <w:r w:rsidR="000C116D">
        <w:t>или</w:t>
      </w:r>
      <w:r w:rsidR="00E0149A" w:rsidRPr="00E0149A">
        <w:t xml:space="preserve"> с соблюдением сроков (</w:t>
      </w:r>
      <w:r w:rsidR="00E0149A">
        <w:t>1</w:t>
      </w:r>
      <w:r w:rsidR="00FB3D7B">
        <w:t>1</w:t>
      </w:r>
      <w:r w:rsidR="00E0149A">
        <w:t xml:space="preserve"> и </w:t>
      </w:r>
      <w:r w:rsidR="00E0149A" w:rsidRPr="00E0149A">
        <w:t>1</w:t>
      </w:r>
      <w:r w:rsidR="00FB3D7B">
        <w:t>2</w:t>
      </w:r>
      <w:r w:rsidR="00E0149A" w:rsidRPr="00E0149A">
        <w:t xml:space="preserve"> ноября 202</w:t>
      </w:r>
      <w:r w:rsidR="00FB3D7B">
        <w:t>3</w:t>
      </w:r>
      <w:r w:rsidR="00E0149A" w:rsidRPr="00E0149A">
        <w:t xml:space="preserve">года – </w:t>
      </w:r>
      <w:r w:rsidR="00E0149A">
        <w:t>выходные дни</w:t>
      </w:r>
      <w:r w:rsidR="00E0149A" w:rsidRPr="00E0149A">
        <w:t xml:space="preserve">).  </w:t>
      </w:r>
    </w:p>
    <w:p w14:paraId="4DADF152" w14:textId="0AA2786D" w:rsidR="00D80372" w:rsidRDefault="00D80372" w:rsidP="00D80372">
      <w:pPr>
        <w:ind w:firstLine="567"/>
        <w:jc w:val="both"/>
      </w:pPr>
      <w:r w:rsidRPr="00D015C9">
        <w:rPr>
          <w:b/>
        </w:rPr>
        <w:t xml:space="preserve"> </w:t>
      </w:r>
      <w:r w:rsidRPr="00E43ACD">
        <w:t xml:space="preserve">Статьей </w:t>
      </w:r>
      <w:r w:rsidRPr="00D015C9">
        <w:t>27</w:t>
      </w:r>
      <w:r w:rsidRPr="00E43ACD">
        <w:t xml:space="preserve"> Положения о бюджетном процессе установлено, что заключение</w:t>
      </w:r>
      <w:r>
        <w:t xml:space="preserve"> на проект бюджета подготавливается </w:t>
      </w:r>
      <w:r w:rsidRPr="00E43ACD">
        <w:t>в течение 20 календарных</w:t>
      </w:r>
      <w:r>
        <w:t xml:space="preserve"> дней. Настоящее заключение подготовлено </w:t>
      </w:r>
      <w:r w:rsidR="00D560E0" w:rsidRPr="00D560E0">
        <w:t>20</w:t>
      </w:r>
      <w:r w:rsidRPr="00D560E0">
        <w:t xml:space="preserve"> </w:t>
      </w:r>
      <w:r w:rsidR="00396879" w:rsidRPr="00D560E0">
        <w:t>ноября 202</w:t>
      </w:r>
      <w:r w:rsidR="00D560E0" w:rsidRPr="00D560E0">
        <w:t>3</w:t>
      </w:r>
      <w:r w:rsidR="00396879" w:rsidRPr="00D560E0">
        <w:t xml:space="preserve"> го</w:t>
      </w:r>
      <w:r w:rsidRPr="00D560E0">
        <w:t xml:space="preserve">да, или в течение </w:t>
      </w:r>
      <w:r w:rsidR="00D560E0" w:rsidRPr="00D560E0">
        <w:t>8</w:t>
      </w:r>
      <w:r w:rsidR="00396879" w:rsidRPr="00D560E0">
        <w:t xml:space="preserve"> </w:t>
      </w:r>
      <w:r w:rsidRPr="00D560E0">
        <w:t>календарных дней.</w:t>
      </w:r>
    </w:p>
    <w:p w14:paraId="250FC277" w14:textId="77777777" w:rsidR="00D80372" w:rsidRPr="00C12FFB" w:rsidRDefault="00D80372" w:rsidP="00D80372">
      <w:pPr>
        <w:ind w:firstLine="567"/>
        <w:jc w:val="both"/>
      </w:pPr>
      <w:r>
        <w:t xml:space="preserve">Дума рассматривает проект решения о бюджете в </w:t>
      </w:r>
      <w:r w:rsidRPr="00E43ACD">
        <w:t>течение 20 календарных</w:t>
      </w:r>
      <w:r>
        <w:t xml:space="preserve"> дней с момента получения заключения от КСП.</w:t>
      </w:r>
    </w:p>
    <w:p w14:paraId="749D767A" w14:textId="6924A362" w:rsidR="00985063" w:rsidRDefault="00D80372" w:rsidP="00985063">
      <w:pPr>
        <w:ind w:firstLine="567"/>
        <w:jc w:val="both"/>
      </w:pPr>
      <w:r w:rsidRPr="00C12FFB">
        <w:t>Проект бюджета проанализирован на его соответствие требованиям БК РФ</w:t>
      </w:r>
      <w:r w:rsidR="00985063">
        <w:t xml:space="preserve"> и нормативно-правовых актов муниципального образования</w:t>
      </w:r>
      <w:r w:rsidRPr="00C12FFB">
        <w:t>.</w:t>
      </w:r>
      <w:r w:rsidRPr="006A1462">
        <w:t xml:space="preserve"> </w:t>
      </w:r>
      <w:r w:rsidR="00985063">
        <w:t xml:space="preserve">Состав показателей, представляемых для утверждения в проекте, соответствует требованиям ст. 184.1 БК РФ и ст. 24 </w:t>
      </w:r>
      <w:r w:rsidR="00985063" w:rsidRPr="00985063">
        <w:t>Положения о бюджетном процессе поселения</w:t>
      </w:r>
      <w:r w:rsidR="00985063">
        <w:t>.</w:t>
      </w:r>
    </w:p>
    <w:p w14:paraId="4C89D828" w14:textId="77777777" w:rsidR="00985063" w:rsidRDefault="00985063" w:rsidP="00985063">
      <w:pPr>
        <w:ind w:firstLine="567"/>
        <w:jc w:val="both"/>
      </w:pPr>
      <w:r>
        <w:lastRenderedPageBreak/>
        <w:t xml:space="preserve">Перечень и содержание документов, представленных в Думу </w:t>
      </w:r>
      <w:proofErr w:type="spellStart"/>
      <w:r>
        <w:t>Каразейского</w:t>
      </w:r>
      <w:proofErr w:type="spellEnd"/>
      <w:r>
        <w:t xml:space="preserve"> МО одновременно с проектом решения о бюджете, соответствуют требованиям 184.2 БК РФ, ст. </w:t>
      </w:r>
      <w:r w:rsidRPr="00985063">
        <w:t>25 Положения о бюджетном процессе поселения</w:t>
      </w:r>
      <w:r>
        <w:t>.</w:t>
      </w:r>
    </w:p>
    <w:p w14:paraId="77228A42" w14:textId="77777777" w:rsidR="00B31BB4" w:rsidRPr="00B31BB4" w:rsidRDefault="00B31BB4" w:rsidP="00B31BB4">
      <w:pPr>
        <w:ind w:firstLine="567"/>
        <w:jc w:val="both"/>
        <w:rPr>
          <w:b/>
        </w:rPr>
      </w:pPr>
    </w:p>
    <w:p w14:paraId="031F0702" w14:textId="77777777" w:rsidR="00D80372" w:rsidRPr="00C96FDE" w:rsidRDefault="00D80372" w:rsidP="00D80372">
      <w:pPr>
        <w:jc w:val="center"/>
        <w:rPr>
          <w:b/>
        </w:rPr>
      </w:pPr>
      <w:r>
        <w:rPr>
          <w:b/>
        </w:rPr>
        <w:t>2</w:t>
      </w:r>
      <w:r w:rsidRPr="00C96FDE">
        <w:rPr>
          <w:b/>
        </w:rPr>
        <w:t xml:space="preserve">. Параметры прогноза макроэкономических показателей для составления </w:t>
      </w:r>
    </w:p>
    <w:p w14:paraId="585C831C" w14:textId="77777777" w:rsidR="00615BE1" w:rsidRPr="005D6DC3" w:rsidRDefault="00D80372" w:rsidP="005D6DC3">
      <w:pPr>
        <w:jc w:val="center"/>
        <w:rPr>
          <w:b/>
          <w:color w:val="FF0000"/>
        </w:rPr>
      </w:pPr>
      <w:r w:rsidRPr="00C96FDE">
        <w:rPr>
          <w:b/>
        </w:rPr>
        <w:t>проекта бюджета</w:t>
      </w:r>
      <w:r w:rsidRPr="00A441D3">
        <w:rPr>
          <w:b/>
          <w:color w:val="FF0000"/>
        </w:rPr>
        <w:t xml:space="preserve"> </w:t>
      </w:r>
    </w:p>
    <w:p w14:paraId="701EA988" w14:textId="65ADBF89" w:rsidR="00F62429" w:rsidRDefault="00D80372" w:rsidP="00F62429">
      <w:pPr>
        <w:ind w:firstLine="567"/>
        <w:jc w:val="both"/>
      </w:pPr>
      <w:r w:rsidRPr="00D001C7">
        <w:t xml:space="preserve">Согласно </w:t>
      </w:r>
      <w:r>
        <w:t>ст. 169 Бюджетного кодекса РФ, ст</w:t>
      </w:r>
      <w:r w:rsidRPr="00E43AC7">
        <w:t>.12 Положения</w:t>
      </w:r>
      <w:r>
        <w:t xml:space="preserve"> о бюджетном процессе проект бюджета составляется на основе прогноза социально-экономического развития муниципального образования в целях финансового обе</w:t>
      </w:r>
      <w:r w:rsidR="005D6DC3">
        <w:t>спечения расходных обязательств</w:t>
      </w:r>
      <w:r w:rsidR="001E56DF">
        <w:t>.</w:t>
      </w:r>
    </w:p>
    <w:p w14:paraId="635AA783" w14:textId="7AFA5D8E" w:rsidR="00D80372" w:rsidRDefault="00D80372" w:rsidP="00D80372">
      <w:pPr>
        <w:ind w:firstLine="567"/>
        <w:jc w:val="both"/>
      </w:pPr>
      <w:r w:rsidRPr="00A93535">
        <w:t xml:space="preserve">Прогноз социально-экономического развития поселения на </w:t>
      </w:r>
      <w:r w:rsidR="000E76FA">
        <w:t>202</w:t>
      </w:r>
      <w:r w:rsidR="00FB3D7B">
        <w:t>4</w:t>
      </w:r>
      <w:r>
        <w:t xml:space="preserve"> год и плановый период </w:t>
      </w:r>
      <w:r w:rsidR="000E76FA">
        <w:t>202</w:t>
      </w:r>
      <w:r w:rsidR="00FB3D7B">
        <w:t>5</w:t>
      </w:r>
      <w:r w:rsidRPr="00A93535">
        <w:t>-</w:t>
      </w:r>
      <w:r w:rsidR="000E76FA">
        <w:t>202</w:t>
      </w:r>
      <w:r w:rsidR="00FB3D7B">
        <w:t>6</w:t>
      </w:r>
      <w:r w:rsidRPr="00A93535">
        <w:t xml:space="preserve">гг.  </w:t>
      </w:r>
      <w:r w:rsidR="001E56DF" w:rsidRPr="001E56DF">
        <w:t>(далее – прогноз СЭР)</w:t>
      </w:r>
      <w:proofErr w:type="gramStart"/>
      <w:r w:rsidR="001E56DF" w:rsidRPr="001E56DF">
        <w:t>.</w:t>
      </w:r>
      <w:proofErr w:type="gramEnd"/>
      <w:r w:rsidR="001E56DF" w:rsidRPr="001E56DF">
        <w:t xml:space="preserve"> </w:t>
      </w:r>
      <w:r w:rsidRPr="00A93535">
        <w:t xml:space="preserve">одобрен </w:t>
      </w:r>
      <w:r>
        <w:t>постановлением</w:t>
      </w:r>
      <w:r w:rsidRPr="00A93535">
        <w:t xml:space="preserve"> </w:t>
      </w:r>
      <w:r>
        <w:t xml:space="preserve">главы </w:t>
      </w:r>
      <w:r w:rsidRPr="00A93535">
        <w:t>администрации МО</w:t>
      </w:r>
      <w:r w:rsidRPr="00C96FDE">
        <w:t xml:space="preserve"> </w:t>
      </w:r>
      <w:r w:rsidRPr="00F07C9C">
        <w:t>от 1</w:t>
      </w:r>
      <w:r w:rsidR="005D1F6A">
        <w:t>0</w:t>
      </w:r>
      <w:r w:rsidRPr="00F07C9C">
        <w:t>.11.</w:t>
      </w:r>
      <w:r w:rsidR="008C4A3C">
        <w:t>202</w:t>
      </w:r>
      <w:r w:rsidR="005D1F6A">
        <w:t>3</w:t>
      </w:r>
      <w:r w:rsidRPr="00F07C9C">
        <w:t>г</w:t>
      </w:r>
      <w:r w:rsidRPr="00A93535">
        <w:t xml:space="preserve">. </w:t>
      </w:r>
      <w:r w:rsidRPr="00BB7EFD">
        <w:t>№</w:t>
      </w:r>
      <w:r w:rsidRPr="002524F9">
        <w:rPr>
          <w:b/>
        </w:rPr>
        <w:t xml:space="preserve"> </w:t>
      </w:r>
      <w:r w:rsidR="008C4A3C" w:rsidRPr="008C4A3C">
        <w:t>3</w:t>
      </w:r>
      <w:r w:rsidR="005D1F6A">
        <w:t>7</w:t>
      </w:r>
      <w:r w:rsidRPr="00F07C9C">
        <w:t xml:space="preserve"> одновременно</w:t>
      </w:r>
      <w:r w:rsidRPr="00A93535">
        <w:t xml:space="preserve"> с принятием решения о внесении проекта бюджета в представительный орган</w:t>
      </w:r>
      <w:r>
        <w:t>, чем</w:t>
      </w:r>
      <w:r w:rsidRPr="009854F2">
        <w:t xml:space="preserve"> </w:t>
      </w:r>
      <w:r>
        <w:t>соблюдены нормы ст.173 БК РФ и ст</w:t>
      </w:r>
      <w:r w:rsidRPr="00E43ACD">
        <w:t>. 1</w:t>
      </w:r>
      <w:r>
        <w:t>5 Положения о бюджетном процессе.</w:t>
      </w:r>
      <w:r w:rsidRPr="00A93535">
        <w:t xml:space="preserve"> </w:t>
      </w:r>
    </w:p>
    <w:p w14:paraId="71E3FF54" w14:textId="13E49412" w:rsidR="005D1F6A" w:rsidRPr="005D1F6A" w:rsidRDefault="005D1F6A" w:rsidP="00D8037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В нарушение п.4 ст.173 БК РФ пояснительная записка к прогнозу СЭР </w:t>
      </w:r>
      <w:proofErr w:type="spellStart"/>
      <w:r w:rsidR="00AF4CB2">
        <w:rPr>
          <w:b/>
          <w:bCs/>
        </w:rPr>
        <w:t>Каразейского</w:t>
      </w:r>
      <w:proofErr w:type="spellEnd"/>
      <w:r w:rsidR="00AF4CB2">
        <w:rPr>
          <w:b/>
          <w:bCs/>
        </w:rPr>
        <w:t xml:space="preserve"> МО отсутствует.</w:t>
      </w:r>
    </w:p>
    <w:p w14:paraId="7C264A36" w14:textId="7EC9CA20" w:rsidR="001E56DF" w:rsidRPr="00C41CB2" w:rsidRDefault="00D80372" w:rsidP="001E56DF">
      <w:pPr>
        <w:ind w:firstLine="567"/>
        <w:jc w:val="both"/>
      </w:pPr>
      <w:r>
        <w:t xml:space="preserve">Прогноз </w:t>
      </w:r>
      <w:r w:rsidR="001E56DF">
        <w:t>СЭР</w:t>
      </w:r>
      <w:r>
        <w:t xml:space="preserve"> поселения представлен в одном варианте</w:t>
      </w:r>
      <w:r w:rsidR="001E56DF">
        <w:t xml:space="preserve"> развития экономики</w:t>
      </w:r>
      <w:r>
        <w:t xml:space="preserve">. </w:t>
      </w:r>
      <w:r w:rsidR="001E56DF" w:rsidRPr="00C41CB2">
        <w:t xml:space="preserve">Динамика макроэкономических показателей </w:t>
      </w:r>
      <w:proofErr w:type="spellStart"/>
      <w:r w:rsidR="001E56DF">
        <w:t>Каразей</w:t>
      </w:r>
      <w:r w:rsidR="001E56DF" w:rsidRPr="00C41CB2">
        <w:t>ского</w:t>
      </w:r>
      <w:proofErr w:type="spellEnd"/>
      <w:r w:rsidR="001E56DF" w:rsidRPr="00C41CB2">
        <w:t xml:space="preserve"> сельского поселения представлен</w:t>
      </w:r>
      <w:r w:rsidR="001E56DF">
        <w:t>а</w:t>
      </w:r>
      <w:r w:rsidR="001E56DF" w:rsidRPr="00C41CB2">
        <w:t xml:space="preserve"> в таблице. </w:t>
      </w:r>
    </w:p>
    <w:p w14:paraId="63FA06EE" w14:textId="77777777" w:rsidR="001E56DF" w:rsidRPr="002342CA" w:rsidRDefault="001E56DF" w:rsidP="001E56DF">
      <w:pPr>
        <w:ind w:firstLine="567"/>
        <w:jc w:val="right"/>
      </w:pPr>
      <w:r w:rsidRPr="002342CA"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774"/>
        <w:gridCol w:w="946"/>
        <w:gridCol w:w="965"/>
        <w:gridCol w:w="978"/>
        <w:gridCol w:w="980"/>
        <w:gridCol w:w="980"/>
        <w:gridCol w:w="981"/>
      </w:tblGrid>
      <w:tr w:rsidR="001E56DF" w:rsidRPr="002342CA" w14:paraId="2CCEA000" w14:textId="77777777" w:rsidTr="00B77476">
        <w:tc>
          <w:tcPr>
            <w:tcW w:w="2979" w:type="dxa"/>
            <w:shd w:val="clear" w:color="auto" w:fill="auto"/>
          </w:tcPr>
          <w:p w14:paraId="09E8C87B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Показатели</w:t>
            </w:r>
          </w:p>
        </w:tc>
        <w:tc>
          <w:tcPr>
            <w:tcW w:w="815" w:type="dxa"/>
            <w:shd w:val="clear" w:color="auto" w:fill="auto"/>
          </w:tcPr>
          <w:p w14:paraId="425FDF5D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Ед.</w:t>
            </w:r>
          </w:p>
          <w:p w14:paraId="7308D3F7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изм.</w:t>
            </w:r>
          </w:p>
        </w:tc>
        <w:tc>
          <w:tcPr>
            <w:tcW w:w="992" w:type="dxa"/>
            <w:shd w:val="clear" w:color="auto" w:fill="auto"/>
          </w:tcPr>
          <w:p w14:paraId="34B89B20" w14:textId="0388B882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Факт 20</w:t>
            </w:r>
            <w:r>
              <w:rPr>
                <w:sz w:val="20"/>
                <w:szCs w:val="20"/>
              </w:rPr>
              <w:t>2</w:t>
            </w:r>
            <w:r w:rsidR="00AF4CB2">
              <w:rPr>
                <w:sz w:val="20"/>
                <w:szCs w:val="20"/>
              </w:rPr>
              <w:t>2</w:t>
            </w:r>
            <w:r w:rsidRPr="002342C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2923DFC9" w14:textId="3D669BD6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Оценка 20</w:t>
            </w:r>
            <w:r>
              <w:rPr>
                <w:sz w:val="20"/>
                <w:szCs w:val="20"/>
              </w:rPr>
              <w:t>2</w:t>
            </w:r>
            <w:r w:rsidR="00AF4CB2">
              <w:rPr>
                <w:sz w:val="20"/>
                <w:szCs w:val="20"/>
              </w:rPr>
              <w:t>3</w:t>
            </w:r>
            <w:r w:rsidRPr="002342C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04CEE98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proofErr w:type="gramStart"/>
            <w:r w:rsidRPr="002342CA">
              <w:rPr>
                <w:sz w:val="20"/>
                <w:szCs w:val="20"/>
              </w:rPr>
              <w:t>Измене-</w:t>
            </w:r>
            <w:proofErr w:type="spellStart"/>
            <w:r w:rsidRPr="002342C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342CA">
              <w:rPr>
                <w:sz w:val="20"/>
                <w:szCs w:val="20"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14:paraId="026A2F7D" w14:textId="3EABCAF1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 xml:space="preserve">Прогноз </w:t>
            </w:r>
            <w:r>
              <w:rPr>
                <w:sz w:val="20"/>
                <w:szCs w:val="20"/>
              </w:rPr>
              <w:t>202</w:t>
            </w:r>
            <w:r w:rsidR="00AF4CB2">
              <w:rPr>
                <w:sz w:val="20"/>
                <w:szCs w:val="20"/>
              </w:rPr>
              <w:t>4</w:t>
            </w:r>
            <w:r w:rsidRPr="002342CA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3EAC81F6" w14:textId="7EEC6A7F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 xml:space="preserve">Прогноз </w:t>
            </w:r>
            <w:r>
              <w:rPr>
                <w:sz w:val="20"/>
                <w:szCs w:val="20"/>
              </w:rPr>
              <w:t>202</w:t>
            </w:r>
            <w:r w:rsidR="00AF4CB2">
              <w:rPr>
                <w:sz w:val="20"/>
                <w:szCs w:val="20"/>
              </w:rPr>
              <w:t>5</w:t>
            </w:r>
            <w:r w:rsidRPr="002342CA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shd w:val="clear" w:color="auto" w:fill="auto"/>
          </w:tcPr>
          <w:p w14:paraId="7B029302" w14:textId="000FEEDF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 xml:space="preserve">Прогноз </w:t>
            </w:r>
            <w:r>
              <w:rPr>
                <w:sz w:val="20"/>
                <w:szCs w:val="20"/>
              </w:rPr>
              <w:t>202</w:t>
            </w:r>
            <w:r w:rsidR="00AF4CB2">
              <w:rPr>
                <w:sz w:val="20"/>
                <w:szCs w:val="20"/>
              </w:rPr>
              <w:t>6</w:t>
            </w:r>
            <w:r w:rsidRPr="002342CA">
              <w:rPr>
                <w:sz w:val="20"/>
                <w:szCs w:val="20"/>
              </w:rPr>
              <w:t>г.</w:t>
            </w:r>
          </w:p>
        </w:tc>
      </w:tr>
      <w:tr w:rsidR="001E56DF" w:rsidRPr="002342CA" w14:paraId="13FC3223" w14:textId="77777777" w:rsidTr="00B77476">
        <w:tc>
          <w:tcPr>
            <w:tcW w:w="2979" w:type="dxa"/>
            <w:shd w:val="clear" w:color="auto" w:fill="auto"/>
          </w:tcPr>
          <w:p w14:paraId="0DDCE59D" w14:textId="77777777" w:rsidR="001E56DF" w:rsidRPr="002342CA" w:rsidRDefault="001E56DF" w:rsidP="00B77476">
            <w:pPr>
              <w:jc w:val="both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Выручка от реализации продукции, работ, услуг</w:t>
            </w:r>
          </w:p>
        </w:tc>
        <w:tc>
          <w:tcPr>
            <w:tcW w:w="815" w:type="dxa"/>
            <w:shd w:val="clear" w:color="auto" w:fill="auto"/>
          </w:tcPr>
          <w:p w14:paraId="6E6161B1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auto"/>
          </w:tcPr>
          <w:p w14:paraId="28EDC335" w14:textId="5EE8B814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992" w:type="dxa"/>
            <w:shd w:val="clear" w:color="auto" w:fill="auto"/>
          </w:tcPr>
          <w:p w14:paraId="44667E21" w14:textId="7B3421B3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992" w:type="dxa"/>
            <w:shd w:val="clear" w:color="auto" w:fill="auto"/>
          </w:tcPr>
          <w:p w14:paraId="2B018278" w14:textId="3A65BB3E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992" w:type="dxa"/>
            <w:shd w:val="clear" w:color="auto" w:fill="auto"/>
          </w:tcPr>
          <w:p w14:paraId="73F6FE32" w14:textId="0B05FDF3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992" w:type="dxa"/>
            <w:shd w:val="clear" w:color="auto" w:fill="auto"/>
          </w:tcPr>
          <w:p w14:paraId="6582C4BD" w14:textId="33306E93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3" w:type="dxa"/>
            <w:shd w:val="clear" w:color="auto" w:fill="auto"/>
          </w:tcPr>
          <w:p w14:paraId="64C27B2C" w14:textId="4164B175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</w:tr>
      <w:tr w:rsidR="001E56DF" w:rsidRPr="002342CA" w14:paraId="015E2587" w14:textId="77777777" w:rsidTr="00B77476">
        <w:tc>
          <w:tcPr>
            <w:tcW w:w="2979" w:type="dxa"/>
            <w:shd w:val="clear" w:color="auto" w:fill="auto"/>
          </w:tcPr>
          <w:p w14:paraId="4D1C1273" w14:textId="77777777" w:rsidR="001E56DF" w:rsidRPr="002342CA" w:rsidRDefault="001E56DF" w:rsidP="00B77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815" w:type="dxa"/>
            <w:shd w:val="clear" w:color="auto" w:fill="auto"/>
          </w:tcPr>
          <w:p w14:paraId="48FCA649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shd w:val="clear" w:color="auto" w:fill="auto"/>
          </w:tcPr>
          <w:p w14:paraId="1F841690" w14:textId="187D4D4F" w:rsidR="001E56DF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14:paraId="29625633" w14:textId="659E51DE" w:rsidR="001E56DF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14:paraId="3C91ABBC" w14:textId="4BE4D418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B761088" w14:textId="3392755D" w:rsidR="001E56DF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92" w:type="dxa"/>
            <w:shd w:val="clear" w:color="auto" w:fill="auto"/>
          </w:tcPr>
          <w:p w14:paraId="3B6504F4" w14:textId="1C3E69CF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993" w:type="dxa"/>
            <w:shd w:val="clear" w:color="auto" w:fill="auto"/>
          </w:tcPr>
          <w:p w14:paraId="2D7BCC6C" w14:textId="1FB176AA" w:rsidR="001E56DF" w:rsidRPr="002342CA" w:rsidRDefault="007321DA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1E56DF" w:rsidRPr="002342CA" w14:paraId="0E33FC92" w14:textId="77777777" w:rsidTr="00B77476">
        <w:tc>
          <w:tcPr>
            <w:tcW w:w="2979" w:type="dxa"/>
            <w:shd w:val="clear" w:color="auto" w:fill="auto"/>
          </w:tcPr>
          <w:p w14:paraId="13D25ACD" w14:textId="77777777" w:rsidR="001E56DF" w:rsidRPr="006B7932" w:rsidRDefault="001E56DF" w:rsidP="00B77476">
            <w:pPr>
              <w:jc w:val="both"/>
              <w:rPr>
                <w:sz w:val="20"/>
                <w:szCs w:val="20"/>
              </w:rPr>
            </w:pPr>
            <w:r w:rsidRPr="006B7932"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15" w:type="dxa"/>
            <w:shd w:val="clear" w:color="auto" w:fill="auto"/>
          </w:tcPr>
          <w:p w14:paraId="07F22B24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2342C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706DB9B0" w14:textId="421AC1E6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992" w:type="dxa"/>
            <w:shd w:val="clear" w:color="auto" w:fill="auto"/>
          </w:tcPr>
          <w:p w14:paraId="3C798093" w14:textId="5C197F96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</w:t>
            </w:r>
          </w:p>
        </w:tc>
        <w:tc>
          <w:tcPr>
            <w:tcW w:w="992" w:type="dxa"/>
            <w:shd w:val="clear" w:color="auto" w:fill="auto"/>
          </w:tcPr>
          <w:p w14:paraId="1C464B5D" w14:textId="18FEB1C4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14:paraId="4FC5FEF5" w14:textId="5C60F0B7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</w:t>
            </w:r>
          </w:p>
        </w:tc>
        <w:tc>
          <w:tcPr>
            <w:tcW w:w="992" w:type="dxa"/>
            <w:shd w:val="clear" w:color="auto" w:fill="auto"/>
          </w:tcPr>
          <w:p w14:paraId="79D2E47A" w14:textId="6F6ED1B2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</w:t>
            </w:r>
          </w:p>
        </w:tc>
        <w:tc>
          <w:tcPr>
            <w:tcW w:w="993" w:type="dxa"/>
            <w:shd w:val="clear" w:color="auto" w:fill="auto"/>
          </w:tcPr>
          <w:p w14:paraId="2A94169B" w14:textId="18FEFC29" w:rsidR="001E56DF" w:rsidRPr="002342CA" w:rsidRDefault="00AF4CB2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</w:t>
            </w:r>
          </w:p>
        </w:tc>
      </w:tr>
      <w:tr w:rsidR="009100F3" w:rsidRPr="002342CA" w14:paraId="5E88B799" w14:textId="77777777" w:rsidTr="00B77476">
        <w:tc>
          <w:tcPr>
            <w:tcW w:w="2979" w:type="dxa"/>
            <w:shd w:val="clear" w:color="auto" w:fill="auto"/>
          </w:tcPr>
          <w:p w14:paraId="032A9BF3" w14:textId="57334D66" w:rsidR="009100F3" w:rsidRPr="006B7932" w:rsidRDefault="009100F3" w:rsidP="00B774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регистрируемой безработицы (к труд. способному населению)  </w:t>
            </w:r>
          </w:p>
        </w:tc>
        <w:tc>
          <w:tcPr>
            <w:tcW w:w="815" w:type="dxa"/>
            <w:shd w:val="clear" w:color="auto" w:fill="auto"/>
          </w:tcPr>
          <w:p w14:paraId="6AC21B4D" w14:textId="77777777" w:rsidR="009100F3" w:rsidRDefault="009100F3" w:rsidP="00B77476">
            <w:pPr>
              <w:jc w:val="center"/>
              <w:rPr>
                <w:sz w:val="20"/>
                <w:szCs w:val="20"/>
              </w:rPr>
            </w:pPr>
          </w:p>
          <w:p w14:paraId="14AD7C44" w14:textId="339E52A8" w:rsidR="009100F3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5E84FF04" w14:textId="2DF30656" w:rsidR="009100F3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14:paraId="2F3823C8" w14:textId="2BF1B951" w:rsidR="009100F3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14:paraId="17C175A4" w14:textId="573C8437" w:rsidR="009100F3" w:rsidRDefault="00D132C4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3CAE114" w14:textId="26D801E9" w:rsidR="009100F3" w:rsidRDefault="00D132C4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14:paraId="4929A790" w14:textId="0E55312F" w:rsidR="009100F3" w:rsidRDefault="00D132C4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  <w:shd w:val="clear" w:color="auto" w:fill="auto"/>
          </w:tcPr>
          <w:p w14:paraId="5E0E1D59" w14:textId="26D07F16" w:rsidR="009100F3" w:rsidRDefault="00D132C4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1E56DF" w:rsidRPr="002342CA" w14:paraId="06427878" w14:textId="77777777" w:rsidTr="00B77476">
        <w:tc>
          <w:tcPr>
            <w:tcW w:w="2979" w:type="dxa"/>
            <w:shd w:val="clear" w:color="auto" w:fill="auto"/>
          </w:tcPr>
          <w:p w14:paraId="7B6D32B8" w14:textId="26CD449A" w:rsidR="001E56DF" w:rsidRPr="006B7932" w:rsidRDefault="001E56DF" w:rsidP="00B77476">
            <w:pPr>
              <w:jc w:val="both"/>
              <w:rPr>
                <w:sz w:val="20"/>
                <w:szCs w:val="20"/>
              </w:rPr>
            </w:pPr>
            <w:r w:rsidRPr="006B7932">
              <w:rPr>
                <w:sz w:val="20"/>
                <w:szCs w:val="20"/>
              </w:rPr>
              <w:t xml:space="preserve">Среднемесячная начисленная </w:t>
            </w:r>
            <w:proofErr w:type="spellStart"/>
            <w:r w:rsidRPr="006B7932">
              <w:rPr>
                <w:sz w:val="20"/>
                <w:szCs w:val="20"/>
              </w:rPr>
              <w:t>заработн</w:t>
            </w:r>
            <w:proofErr w:type="spellEnd"/>
            <w:r w:rsidR="007321DA">
              <w:rPr>
                <w:sz w:val="20"/>
                <w:szCs w:val="20"/>
              </w:rPr>
              <w:t>.</w:t>
            </w:r>
            <w:r w:rsidRPr="006B7932">
              <w:rPr>
                <w:sz w:val="20"/>
                <w:szCs w:val="20"/>
              </w:rPr>
              <w:t xml:space="preserve"> плата </w:t>
            </w:r>
          </w:p>
        </w:tc>
        <w:tc>
          <w:tcPr>
            <w:tcW w:w="815" w:type="dxa"/>
            <w:shd w:val="clear" w:color="auto" w:fill="auto"/>
          </w:tcPr>
          <w:p w14:paraId="273FBA33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52D70C05" w14:textId="4741F80B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36654</w:t>
            </w:r>
          </w:p>
        </w:tc>
        <w:tc>
          <w:tcPr>
            <w:tcW w:w="992" w:type="dxa"/>
            <w:shd w:val="clear" w:color="auto" w:fill="auto"/>
          </w:tcPr>
          <w:p w14:paraId="1EF4FF53" w14:textId="02BC6A61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39014</w:t>
            </w:r>
          </w:p>
        </w:tc>
        <w:tc>
          <w:tcPr>
            <w:tcW w:w="992" w:type="dxa"/>
            <w:shd w:val="clear" w:color="auto" w:fill="auto"/>
          </w:tcPr>
          <w:p w14:paraId="37F3CF05" w14:textId="5FC2FD80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992" w:type="dxa"/>
            <w:shd w:val="clear" w:color="auto" w:fill="auto"/>
          </w:tcPr>
          <w:p w14:paraId="1F59D1AE" w14:textId="1BE4513B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41862</w:t>
            </w:r>
          </w:p>
        </w:tc>
        <w:tc>
          <w:tcPr>
            <w:tcW w:w="992" w:type="dxa"/>
            <w:shd w:val="clear" w:color="auto" w:fill="auto"/>
          </w:tcPr>
          <w:p w14:paraId="53CDB20A" w14:textId="4EA0F14C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44834</w:t>
            </w:r>
          </w:p>
        </w:tc>
        <w:tc>
          <w:tcPr>
            <w:tcW w:w="993" w:type="dxa"/>
            <w:shd w:val="clear" w:color="auto" w:fill="auto"/>
          </w:tcPr>
          <w:p w14:paraId="1533FB75" w14:textId="0CB3CAE4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47755</w:t>
            </w:r>
          </w:p>
        </w:tc>
      </w:tr>
      <w:tr w:rsidR="001E56DF" w:rsidRPr="002342CA" w14:paraId="7B9001E3" w14:textId="77777777" w:rsidTr="00B77476">
        <w:tc>
          <w:tcPr>
            <w:tcW w:w="2979" w:type="dxa"/>
            <w:shd w:val="clear" w:color="auto" w:fill="auto"/>
          </w:tcPr>
          <w:p w14:paraId="3F145994" w14:textId="77777777" w:rsidR="001E56DF" w:rsidRPr="002342CA" w:rsidRDefault="001E56DF" w:rsidP="00B77476">
            <w:pPr>
              <w:jc w:val="both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 xml:space="preserve">Фонд начисленной заработной платы по полному кругу организаций </w:t>
            </w:r>
          </w:p>
        </w:tc>
        <w:tc>
          <w:tcPr>
            <w:tcW w:w="815" w:type="dxa"/>
            <w:shd w:val="clear" w:color="auto" w:fill="auto"/>
          </w:tcPr>
          <w:p w14:paraId="0ABD4F45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млн.</w:t>
            </w:r>
          </w:p>
          <w:p w14:paraId="1B96CF01" w14:textId="77777777" w:rsidR="001E56DF" w:rsidRPr="002342CA" w:rsidRDefault="001E56DF" w:rsidP="00B77476">
            <w:pPr>
              <w:jc w:val="center"/>
              <w:rPr>
                <w:sz w:val="20"/>
                <w:szCs w:val="20"/>
              </w:rPr>
            </w:pPr>
            <w:r w:rsidRPr="002342C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14:paraId="0390110A" w14:textId="5A9B0CF0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shd w:val="clear" w:color="auto" w:fill="auto"/>
          </w:tcPr>
          <w:p w14:paraId="48EA5E89" w14:textId="3DC80263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  <w:r w:rsidR="00B93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239868F" w14:textId="05602559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14:paraId="53EBFF27" w14:textId="12681801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14:paraId="1FA867E4" w14:textId="37A16791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993" w:type="dxa"/>
            <w:shd w:val="clear" w:color="auto" w:fill="auto"/>
          </w:tcPr>
          <w:p w14:paraId="1AA65ED0" w14:textId="47BB31D6" w:rsidR="001E56DF" w:rsidRPr="002342CA" w:rsidRDefault="009100F3" w:rsidP="00B77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</w:tr>
    </w:tbl>
    <w:p w14:paraId="52FA00BB" w14:textId="21B1E635" w:rsidR="00720636" w:rsidRDefault="00C97C61" w:rsidP="00C97C61">
      <w:pPr>
        <w:ind w:firstLine="567"/>
        <w:jc w:val="both"/>
      </w:pPr>
      <w:r>
        <w:t>О</w:t>
      </w:r>
      <w:r w:rsidR="003074DB" w:rsidRPr="0038720E">
        <w:t>сновным показателем, характеризующим экономическое развитие поселения, является выручка от реализации товаров (работ, услуг).</w:t>
      </w:r>
      <w:r w:rsidR="003074DB">
        <w:t xml:space="preserve"> </w:t>
      </w:r>
      <w:r w:rsidR="00720636">
        <w:t>Выручка планируется в трех сферах: сельское хозяйство, торговля и проч</w:t>
      </w:r>
      <w:r w:rsidR="00231D42">
        <w:t>ая деятельность</w:t>
      </w:r>
      <w:r w:rsidR="00720636">
        <w:t xml:space="preserve">. </w:t>
      </w:r>
    </w:p>
    <w:p w14:paraId="5BFAF87F" w14:textId="03788EA8" w:rsidR="00720636" w:rsidRDefault="00720636" w:rsidP="00720636">
      <w:pPr>
        <w:ind w:firstLine="567"/>
        <w:jc w:val="both"/>
      </w:pPr>
      <w:r>
        <w:t>Данные Прогноза свидетельствуют о том, что выручка от реализации продукции сельского хозяйства является самой значительной в общем объеме выручки и составляет 9</w:t>
      </w:r>
      <w:r w:rsidR="00D132C4">
        <w:t>6,4</w:t>
      </w:r>
      <w:r>
        <w:t>%.</w:t>
      </w:r>
      <w:r w:rsidRPr="00720636">
        <w:t xml:space="preserve"> </w:t>
      </w:r>
      <w:r w:rsidR="00897726">
        <w:t>По оценке в 202</w:t>
      </w:r>
      <w:r w:rsidR="00D132C4">
        <w:t>3</w:t>
      </w:r>
      <w:r>
        <w:t xml:space="preserve"> году выручка от реализации сельскохозяйственной продукции составит 1</w:t>
      </w:r>
      <w:r w:rsidR="00D132C4">
        <w:t>37,4</w:t>
      </w:r>
      <w:r>
        <w:t xml:space="preserve"> млн. руб., по прогнозу на </w:t>
      </w:r>
      <w:r w:rsidR="000E76FA">
        <w:t>202</w:t>
      </w:r>
      <w:r w:rsidR="00D132C4">
        <w:t>4</w:t>
      </w:r>
      <w:r>
        <w:t xml:space="preserve"> год по отношению к 202</w:t>
      </w:r>
      <w:r w:rsidR="00D132C4">
        <w:t>3</w:t>
      </w:r>
      <w:r>
        <w:t xml:space="preserve"> году объем выручки планируется с ростом на </w:t>
      </w:r>
      <w:r w:rsidR="00D132C4">
        <w:t>4,9</w:t>
      </w:r>
      <w:r>
        <w:t>%, на плановый период</w:t>
      </w:r>
      <w:r w:rsidR="00897726">
        <w:t xml:space="preserve"> </w:t>
      </w:r>
      <w:r w:rsidR="000E76FA">
        <w:t>202</w:t>
      </w:r>
      <w:r w:rsidR="00D132C4">
        <w:t>5</w:t>
      </w:r>
      <w:r w:rsidR="00897726">
        <w:t>-</w:t>
      </w:r>
      <w:r w:rsidR="000E76FA">
        <w:t>202</w:t>
      </w:r>
      <w:r w:rsidR="00D132C4">
        <w:t>6</w:t>
      </w:r>
      <w:r w:rsidR="00897726">
        <w:t>гг.</w:t>
      </w:r>
      <w:r>
        <w:t xml:space="preserve"> планируется ежегодный рост </w:t>
      </w:r>
      <w:r w:rsidR="00231D42">
        <w:t>в пределах 4</w:t>
      </w:r>
      <w:r>
        <w:t>%.</w:t>
      </w:r>
      <w:r w:rsidR="00E42742">
        <w:t xml:space="preserve"> </w:t>
      </w:r>
    </w:p>
    <w:p w14:paraId="461C15ED" w14:textId="62FE816A" w:rsidR="00201DA3" w:rsidRDefault="00041C1A" w:rsidP="00041C1A">
      <w:pPr>
        <w:ind w:firstLine="567"/>
        <w:jc w:val="both"/>
      </w:pPr>
      <w:r>
        <w:t>Оборот розничной торговли по оценке 202</w:t>
      </w:r>
      <w:r w:rsidR="00D132C4">
        <w:t>3</w:t>
      </w:r>
      <w:r>
        <w:t xml:space="preserve"> года составит </w:t>
      </w:r>
      <w:r w:rsidR="00231D42">
        <w:t>4</w:t>
      </w:r>
      <w:r w:rsidR="00D132C4">
        <w:t>,6</w:t>
      </w:r>
      <w:r>
        <w:t xml:space="preserve"> млн. руб., или </w:t>
      </w:r>
      <w:r w:rsidR="00231D42">
        <w:t>10</w:t>
      </w:r>
      <w:r w:rsidR="00D132C4">
        <w:t>4,5</w:t>
      </w:r>
      <w:r>
        <w:t>% к факту 202</w:t>
      </w:r>
      <w:r w:rsidR="00D132C4">
        <w:t>2</w:t>
      </w:r>
      <w:r>
        <w:t xml:space="preserve"> года. </w:t>
      </w:r>
      <w:r w:rsidR="00231D42">
        <w:t>Далее ежегодно планируется прирост выручки в абсолютном выражении на 200 тыс.</w:t>
      </w:r>
      <w:r w:rsidR="00D132C4">
        <w:t xml:space="preserve"> </w:t>
      </w:r>
      <w:r w:rsidR="00231D42">
        <w:t>руб.</w:t>
      </w:r>
    </w:p>
    <w:p w14:paraId="58B7B5AB" w14:textId="5D6F7C40" w:rsidR="006C168B" w:rsidRDefault="006C168B" w:rsidP="00041C1A">
      <w:pPr>
        <w:ind w:firstLine="567"/>
        <w:jc w:val="both"/>
      </w:pPr>
      <w:r>
        <w:t xml:space="preserve"> Численность постоянного населения по данным Службы государственной статистики</w:t>
      </w:r>
      <w:r w:rsidR="008C660B">
        <w:t xml:space="preserve"> (с учетом итогов Всероссийской переписи населения 2021 года)</w:t>
      </w:r>
      <w:r>
        <w:t xml:space="preserve"> на 01.01.2022г. составляет 1076 чел., на 01.01.2023г. – 1055 чел., а в прогнозе СЭР отражена в количестве 1,</w:t>
      </w:r>
      <w:r w:rsidR="00E750A6">
        <w:t>08 чел.</w:t>
      </w:r>
    </w:p>
    <w:p w14:paraId="7E7A4917" w14:textId="7596D4C8" w:rsidR="00E750A6" w:rsidRDefault="0050658D" w:rsidP="00F81BB4">
      <w:pPr>
        <w:ind w:firstLine="567"/>
        <w:jc w:val="both"/>
      </w:pPr>
      <w:r>
        <w:t>Среднесписочная численность работников по полному кругу организаций по оценке 202</w:t>
      </w:r>
      <w:r w:rsidR="00E750A6">
        <w:t>3</w:t>
      </w:r>
      <w:r>
        <w:t xml:space="preserve"> года</w:t>
      </w:r>
      <w:r w:rsidR="00E750A6">
        <w:t xml:space="preserve"> и на весь плановый период составит 196</w:t>
      </w:r>
      <w:r>
        <w:t xml:space="preserve"> чел.</w:t>
      </w:r>
      <w:r w:rsidR="00E750A6">
        <w:t xml:space="preserve">  Из общей численности работающих </w:t>
      </w:r>
      <w:r w:rsidR="008A0DD9">
        <w:t xml:space="preserve">109 чел., или 55,6% — это работники сельского хозяйства. </w:t>
      </w:r>
      <w:r w:rsidR="00E750A6">
        <w:t>Численность работников бюджетной сферы составляет 80 чел., или 40,8 % от всей численности работников.</w:t>
      </w:r>
    </w:p>
    <w:p w14:paraId="366DF165" w14:textId="41E6BC99" w:rsidR="009E508D" w:rsidRDefault="009E508D" w:rsidP="00F81BB4">
      <w:pPr>
        <w:ind w:firstLine="567"/>
        <w:jc w:val="both"/>
      </w:pPr>
      <w:r>
        <w:lastRenderedPageBreak/>
        <w:t>В прогнозе СЭР показатель уровня регистрируемой безработицы составил 0,01% на 2023 год и на следующие три года.</w:t>
      </w:r>
    </w:p>
    <w:p w14:paraId="75D7DF55" w14:textId="0E932390" w:rsidR="009E508D" w:rsidRPr="00DC0593" w:rsidRDefault="009E508D" w:rsidP="009E508D">
      <w:pPr>
        <w:ind w:firstLine="567"/>
        <w:jc w:val="both"/>
      </w:pPr>
      <w:r w:rsidRPr="00DC0593">
        <w:t xml:space="preserve">Среднемесячная начисленная заработная плата (без выплат социального характера) по полному кругу организаций за </w:t>
      </w:r>
      <w:r>
        <w:t>2022</w:t>
      </w:r>
      <w:r w:rsidRPr="00DC0593">
        <w:t xml:space="preserve"> год составила </w:t>
      </w:r>
      <w:r>
        <w:t>36654</w:t>
      </w:r>
      <w:r w:rsidRPr="00DC0593">
        <w:t xml:space="preserve"> руб., на </w:t>
      </w:r>
      <w:r>
        <w:t>2023</w:t>
      </w:r>
      <w:r w:rsidRPr="00DC0593">
        <w:t xml:space="preserve"> год ожидается </w:t>
      </w:r>
      <w:r>
        <w:t xml:space="preserve">39014 </w:t>
      </w:r>
      <w:r w:rsidRPr="00DC0593">
        <w:t>руб., или с повышением на</w:t>
      </w:r>
      <w:r w:rsidR="00B930EC">
        <w:t xml:space="preserve"> 6,4</w:t>
      </w:r>
      <w:r w:rsidRPr="00DC0593">
        <w:t xml:space="preserve">%, в </w:t>
      </w:r>
      <w:r>
        <w:t>202</w:t>
      </w:r>
      <w:r w:rsidR="00B930EC">
        <w:t>4</w:t>
      </w:r>
      <w:r w:rsidRPr="00DC0593">
        <w:t xml:space="preserve"> году по отношению к ожидаемому исполнению </w:t>
      </w:r>
      <w:r>
        <w:t>202</w:t>
      </w:r>
      <w:r w:rsidR="00B930EC">
        <w:t>3</w:t>
      </w:r>
      <w:r w:rsidRPr="00DC0593">
        <w:t xml:space="preserve"> года планируется с ростом</w:t>
      </w:r>
      <w:r w:rsidRPr="00DC0593">
        <w:rPr>
          <w:color w:val="FF0000"/>
        </w:rPr>
        <w:t xml:space="preserve"> </w:t>
      </w:r>
      <w:r w:rsidRPr="00DC0593">
        <w:t xml:space="preserve">на </w:t>
      </w:r>
      <w:r w:rsidR="00B930EC">
        <w:t>7,3%</w:t>
      </w:r>
      <w:r w:rsidRPr="00DC0593">
        <w:rPr>
          <w:color w:val="FF0000"/>
        </w:rPr>
        <w:t xml:space="preserve"> </w:t>
      </w:r>
      <w:r w:rsidRPr="00DC0593">
        <w:t xml:space="preserve">и составит </w:t>
      </w:r>
      <w:r w:rsidR="00B930EC">
        <w:t>41862</w:t>
      </w:r>
      <w:r w:rsidRPr="00DC0593">
        <w:t xml:space="preserve"> руб.,</w:t>
      </w:r>
      <w:r w:rsidRPr="00DC0593">
        <w:rPr>
          <w:color w:val="FF0000"/>
        </w:rPr>
        <w:t xml:space="preserve"> </w:t>
      </w:r>
      <w:r w:rsidRPr="00DC0593">
        <w:t xml:space="preserve">в </w:t>
      </w:r>
      <w:r>
        <w:t>202</w:t>
      </w:r>
      <w:r w:rsidR="00B930EC">
        <w:t>5</w:t>
      </w:r>
      <w:r w:rsidRPr="00DC0593">
        <w:t xml:space="preserve"> году увеличится до </w:t>
      </w:r>
      <w:r w:rsidR="00B930EC">
        <w:t>44834</w:t>
      </w:r>
      <w:r w:rsidRPr="00DC0593">
        <w:t xml:space="preserve"> руб.</w:t>
      </w:r>
      <w:r>
        <w:t>,</w:t>
      </w:r>
      <w:r w:rsidRPr="00DC0593">
        <w:rPr>
          <w:color w:val="FF0000"/>
        </w:rPr>
        <w:t xml:space="preserve"> </w:t>
      </w:r>
      <w:r w:rsidRPr="00DC0593">
        <w:t xml:space="preserve">или на </w:t>
      </w:r>
      <w:r w:rsidR="00B930EC">
        <w:t>7,1</w:t>
      </w:r>
      <w:r w:rsidRPr="00DC0593">
        <w:t>%,</w:t>
      </w:r>
      <w:r w:rsidRPr="00DC0593">
        <w:rPr>
          <w:color w:val="FF0000"/>
        </w:rPr>
        <w:t xml:space="preserve"> </w:t>
      </w:r>
      <w:r w:rsidRPr="00DC0593">
        <w:t xml:space="preserve">в </w:t>
      </w:r>
      <w:r>
        <w:t>202</w:t>
      </w:r>
      <w:r w:rsidR="00B930EC">
        <w:t>6</w:t>
      </w:r>
      <w:r w:rsidRPr="00DC0593">
        <w:t xml:space="preserve"> году увеличится на </w:t>
      </w:r>
      <w:r w:rsidR="00B930EC">
        <w:t>6,5</w:t>
      </w:r>
      <w:r w:rsidRPr="00DC0593">
        <w:t xml:space="preserve">% и составит </w:t>
      </w:r>
      <w:r w:rsidR="00B930EC">
        <w:t>47755</w:t>
      </w:r>
      <w:r w:rsidRPr="00DC0593">
        <w:t xml:space="preserve"> руб.</w:t>
      </w:r>
    </w:p>
    <w:p w14:paraId="2FC1758E" w14:textId="77777777" w:rsidR="001349AB" w:rsidRDefault="001349AB" w:rsidP="00D80372">
      <w:pPr>
        <w:jc w:val="center"/>
        <w:rPr>
          <w:b/>
        </w:rPr>
      </w:pPr>
    </w:p>
    <w:p w14:paraId="2BC78B59" w14:textId="6C894FE9" w:rsidR="00D80372" w:rsidRPr="009C6AE8" w:rsidRDefault="00D80372" w:rsidP="00D80372">
      <w:pPr>
        <w:jc w:val="center"/>
        <w:rPr>
          <w:b/>
        </w:rPr>
      </w:pPr>
      <w:r>
        <w:rPr>
          <w:b/>
        </w:rPr>
        <w:t xml:space="preserve">3. Проект бюджета </w:t>
      </w:r>
      <w:proofErr w:type="spellStart"/>
      <w:r>
        <w:rPr>
          <w:b/>
        </w:rPr>
        <w:t>Каразейского</w:t>
      </w:r>
      <w:proofErr w:type="spellEnd"/>
      <w:r>
        <w:rPr>
          <w:b/>
        </w:rPr>
        <w:t xml:space="preserve"> муниципального образования </w:t>
      </w:r>
      <w:r w:rsidRPr="009C6AE8">
        <w:rPr>
          <w:b/>
        </w:rPr>
        <w:t xml:space="preserve">на </w:t>
      </w:r>
      <w:r w:rsidR="000E76FA">
        <w:rPr>
          <w:b/>
        </w:rPr>
        <w:t>202</w:t>
      </w:r>
      <w:r w:rsidR="007C4CD1">
        <w:rPr>
          <w:b/>
        </w:rPr>
        <w:t>4</w:t>
      </w:r>
      <w:r>
        <w:rPr>
          <w:b/>
        </w:rPr>
        <w:t xml:space="preserve"> </w:t>
      </w:r>
      <w:r w:rsidRPr="009C6AE8">
        <w:rPr>
          <w:b/>
        </w:rPr>
        <w:t>год</w:t>
      </w:r>
      <w:r>
        <w:rPr>
          <w:b/>
        </w:rPr>
        <w:t xml:space="preserve"> и на плановый период </w:t>
      </w:r>
      <w:r w:rsidR="000E76FA">
        <w:rPr>
          <w:b/>
        </w:rPr>
        <w:t>202</w:t>
      </w:r>
      <w:r w:rsidR="007C4CD1">
        <w:rPr>
          <w:b/>
        </w:rPr>
        <w:t>5</w:t>
      </w:r>
      <w:r w:rsidR="00F62429">
        <w:rPr>
          <w:b/>
        </w:rPr>
        <w:t xml:space="preserve"> и </w:t>
      </w:r>
      <w:r w:rsidR="000E76FA">
        <w:rPr>
          <w:b/>
        </w:rPr>
        <w:t>202</w:t>
      </w:r>
      <w:r w:rsidR="007C4CD1">
        <w:rPr>
          <w:b/>
        </w:rPr>
        <w:t>6</w:t>
      </w:r>
      <w:r>
        <w:rPr>
          <w:b/>
        </w:rPr>
        <w:t xml:space="preserve"> годов. </w:t>
      </w:r>
    </w:p>
    <w:p w14:paraId="2139A91B" w14:textId="60235FC5" w:rsidR="00D80372" w:rsidRDefault="00D80372" w:rsidP="00D80372">
      <w:pPr>
        <w:ind w:firstLine="567"/>
        <w:jc w:val="both"/>
        <w:rPr>
          <w:color w:val="000000"/>
          <w:spacing w:val="-5"/>
        </w:rPr>
      </w:pPr>
      <w:r w:rsidRPr="00F8600A">
        <w:rPr>
          <w:color w:val="000000"/>
          <w:spacing w:val="-5"/>
        </w:rPr>
        <w:t xml:space="preserve">Формирование основных параметров </w:t>
      </w:r>
      <w:r>
        <w:rPr>
          <w:color w:val="000000"/>
          <w:spacing w:val="-5"/>
        </w:rPr>
        <w:t>местного</w:t>
      </w:r>
      <w:r w:rsidRPr="00F8600A">
        <w:rPr>
          <w:color w:val="000000"/>
          <w:spacing w:val="-5"/>
        </w:rPr>
        <w:t xml:space="preserve"> бюджета </w:t>
      </w:r>
      <w:proofErr w:type="spellStart"/>
      <w:r>
        <w:rPr>
          <w:color w:val="000000"/>
          <w:spacing w:val="-5"/>
        </w:rPr>
        <w:t>Каразейского</w:t>
      </w:r>
      <w:proofErr w:type="spellEnd"/>
      <w:r>
        <w:rPr>
          <w:color w:val="000000"/>
          <w:spacing w:val="-5"/>
        </w:rPr>
        <w:t xml:space="preserve"> поселения</w:t>
      </w:r>
      <w:r w:rsidRPr="00F8600A">
        <w:rPr>
          <w:color w:val="000000"/>
          <w:spacing w:val="-5"/>
        </w:rPr>
        <w:t xml:space="preserve"> на </w:t>
      </w:r>
      <w:r w:rsidR="000E76FA">
        <w:rPr>
          <w:color w:val="000000"/>
          <w:spacing w:val="-5"/>
        </w:rPr>
        <w:t>202</w:t>
      </w:r>
      <w:r w:rsidR="007C4CD1">
        <w:rPr>
          <w:color w:val="000000"/>
          <w:spacing w:val="-5"/>
        </w:rPr>
        <w:t>4</w:t>
      </w:r>
      <w:r w:rsidRPr="00F8600A">
        <w:rPr>
          <w:color w:val="000000"/>
          <w:spacing w:val="-5"/>
        </w:rPr>
        <w:t xml:space="preserve"> год и на плановый период </w:t>
      </w:r>
      <w:r w:rsidR="000E76FA">
        <w:rPr>
          <w:color w:val="000000"/>
          <w:spacing w:val="-5"/>
        </w:rPr>
        <w:t>202</w:t>
      </w:r>
      <w:r w:rsidR="007C4CD1">
        <w:rPr>
          <w:color w:val="000000"/>
          <w:spacing w:val="-5"/>
        </w:rPr>
        <w:t>5</w:t>
      </w:r>
      <w:r>
        <w:rPr>
          <w:color w:val="000000"/>
          <w:spacing w:val="-5"/>
        </w:rPr>
        <w:t xml:space="preserve"> и </w:t>
      </w:r>
      <w:r w:rsidR="000E76FA">
        <w:rPr>
          <w:color w:val="000000"/>
          <w:spacing w:val="-5"/>
        </w:rPr>
        <w:t>202</w:t>
      </w:r>
      <w:r w:rsidR="007C4CD1">
        <w:rPr>
          <w:color w:val="000000"/>
          <w:spacing w:val="-5"/>
        </w:rPr>
        <w:t>6</w:t>
      </w:r>
      <w:r w:rsidRPr="00F8600A">
        <w:rPr>
          <w:color w:val="000000"/>
          <w:spacing w:val="-5"/>
        </w:rPr>
        <w:t xml:space="preserve"> годов осуществлено в соответствии с требованиями действующего бюджетного и</w:t>
      </w:r>
      <w:r>
        <w:rPr>
          <w:color w:val="000000"/>
          <w:spacing w:val="-5"/>
        </w:rPr>
        <w:t xml:space="preserve"> налогового законодательства,</w:t>
      </w:r>
      <w:r w:rsidRPr="00F8600A">
        <w:rPr>
          <w:color w:val="000000"/>
          <w:spacing w:val="-5"/>
        </w:rPr>
        <w:t xml:space="preserve"> также учтены ожидаемые параметры исполнения бюджета</w:t>
      </w:r>
      <w:r>
        <w:rPr>
          <w:color w:val="000000"/>
          <w:spacing w:val="-5"/>
        </w:rPr>
        <w:t xml:space="preserve"> поселения за 202</w:t>
      </w:r>
      <w:r w:rsidR="003F07D5">
        <w:rPr>
          <w:color w:val="000000"/>
          <w:spacing w:val="-5"/>
        </w:rPr>
        <w:t>3</w:t>
      </w:r>
      <w:r>
        <w:rPr>
          <w:color w:val="000000"/>
          <w:spacing w:val="-5"/>
        </w:rPr>
        <w:t xml:space="preserve"> год. На очередной финансовый год и плановый период бюджет сформирован бездефицитный.</w:t>
      </w:r>
    </w:p>
    <w:p w14:paraId="3C192722" w14:textId="30ED80ED" w:rsidR="00D80372" w:rsidRPr="00416AC5" w:rsidRDefault="00D80372" w:rsidP="00D80372">
      <w:pPr>
        <w:ind w:firstLine="567"/>
        <w:jc w:val="both"/>
        <w:rPr>
          <w:color w:val="000000"/>
          <w:spacing w:val="-5"/>
        </w:rPr>
      </w:pPr>
      <w:r w:rsidRPr="00416AC5">
        <w:rPr>
          <w:color w:val="000000"/>
          <w:spacing w:val="-5"/>
        </w:rPr>
        <w:t xml:space="preserve">Основные параметры бюджета поселения на </w:t>
      </w:r>
      <w:r w:rsidR="000E76FA">
        <w:rPr>
          <w:color w:val="000000"/>
          <w:spacing w:val="-5"/>
        </w:rPr>
        <w:t>202</w:t>
      </w:r>
      <w:r w:rsidR="007C4CD1">
        <w:rPr>
          <w:color w:val="000000"/>
          <w:spacing w:val="-5"/>
        </w:rPr>
        <w:t>4</w:t>
      </w:r>
      <w:r w:rsidRPr="00416AC5">
        <w:rPr>
          <w:color w:val="000000"/>
          <w:spacing w:val="-5"/>
        </w:rPr>
        <w:t xml:space="preserve"> год и на плановый период сформированы в следующих объемах и представлены в таблице </w:t>
      </w:r>
      <w:r w:rsidR="00AC7894">
        <w:rPr>
          <w:color w:val="000000"/>
          <w:spacing w:val="-5"/>
        </w:rPr>
        <w:t>2</w:t>
      </w:r>
      <w:r w:rsidRPr="00416AC5">
        <w:rPr>
          <w:color w:val="000000"/>
          <w:spacing w:val="-5"/>
        </w:rPr>
        <w:t>.</w:t>
      </w:r>
    </w:p>
    <w:p w14:paraId="2BFF1147" w14:textId="6C905B78" w:rsidR="00D80372" w:rsidRPr="00416AC5" w:rsidRDefault="00D80372" w:rsidP="00D80372">
      <w:pPr>
        <w:ind w:left="4956" w:firstLine="708"/>
        <w:jc w:val="both"/>
        <w:rPr>
          <w:color w:val="000000"/>
          <w:spacing w:val="-5"/>
        </w:rPr>
      </w:pPr>
      <w:r w:rsidRPr="00416AC5">
        <w:rPr>
          <w:color w:val="000000"/>
          <w:spacing w:val="-5"/>
        </w:rPr>
        <w:t xml:space="preserve">                     Таблица №</w:t>
      </w:r>
      <w:r w:rsidR="00AC7894">
        <w:rPr>
          <w:color w:val="000000"/>
          <w:spacing w:val="-5"/>
        </w:rPr>
        <w:t xml:space="preserve"> 2</w:t>
      </w:r>
      <w:r w:rsidRPr="00416AC5">
        <w:rPr>
          <w:color w:val="000000"/>
          <w:spacing w:val="-5"/>
        </w:rPr>
        <w:t>, тыс. рублей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730"/>
        <w:gridCol w:w="1843"/>
      </w:tblGrid>
      <w:tr w:rsidR="00D80372" w:rsidRPr="00416AC5" w14:paraId="1F541CE6" w14:textId="77777777" w:rsidTr="00B94028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A708" w14:textId="77777777" w:rsidR="00D80372" w:rsidRPr="00416AC5" w:rsidRDefault="00D80372" w:rsidP="000C5254">
            <w:pPr>
              <w:ind w:firstLine="142"/>
              <w:jc w:val="center"/>
              <w:rPr>
                <w:b/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</w:rPr>
              <w:t>Основные параметры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E0BA" w14:textId="426AB935" w:rsidR="00D80372" w:rsidRPr="00416AC5" w:rsidRDefault="000E76FA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</w:t>
            </w:r>
            <w:r w:rsidR="007C4CD1">
              <w:rPr>
                <w:b/>
                <w:color w:val="000000"/>
                <w:spacing w:val="-5"/>
              </w:rPr>
              <w:t>4</w:t>
            </w:r>
            <w:r w:rsidR="00D80372" w:rsidRPr="00416AC5">
              <w:rPr>
                <w:b/>
                <w:color w:val="000000"/>
                <w:spacing w:val="-5"/>
              </w:rPr>
              <w:t xml:space="preserve">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4577" w14:textId="7DB63AAF" w:rsidR="00D80372" w:rsidRPr="00416AC5" w:rsidRDefault="000E76FA" w:rsidP="00F62429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</w:t>
            </w:r>
            <w:r w:rsidR="007C4CD1">
              <w:rPr>
                <w:b/>
                <w:color w:val="000000"/>
                <w:spacing w:val="-5"/>
              </w:rPr>
              <w:t>5</w:t>
            </w:r>
            <w:r w:rsidR="00234580">
              <w:rPr>
                <w:b/>
                <w:color w:val="000000"/>
                <w:spacing w:val="-5"/>
              </w:rPr>
              <w:t xml:space="preserve"> </w:t>
            </w:r>
            <w:r w:rsidR="00D80372" w:rsidRPr="00416AC5">
              <w:rPr>
                <w:b/>
                <w:color w:val="000000"/>
                <w:spacing w:val="-5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6D8" w14:textId="4B088298" w:rsidR="00D80372" w:rsidRPr="00416AC5" w:rsidRDefault="000E76FA" w:rsidP="00F62429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</w:t>
            </w:r>
            <w:r w:rsidR="007C4CD1">
              <w:rPr>
                <w:b/>
                <w:color w:val="000000"/>
                <w:spacing w:val="-5"/>
              </w:rPr>
              <w:t>6</w:t>
            </w:r>
            <w:r w:rsidR="00234580">
              <w:rPr>
                <w:b/>
                <w:color w:val="000000"/>
                <w:spacing w:val="-5"/>
              </w:rPr>
              <w:t xml:space="preserve"> </w:t>
            </w:r>
            <w:r w:rsidR="00D80372" w:rsidRPr="00416AC5">
              <w:rPr>
                <w:b/>
                <w:color w:val="000000"/>
                <w:spacing w:val="-5"/>
              </w:rPr>
              <w:t>год</w:t>
            </w:r>
          </w:p>
        </w:tc>
      </w:tr>
      <w:tr w:rsidR="00D80372" w:rsidRPr="00416AC5" w14:paraId="256398F6" w14:textId="77777777" w:rsidTr="00B94028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63C4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 xml:space="preserve">Доходы, </w:t>
            </w:r>
            <w:r w:rsidRPr="00416AC5">
              <w:rPr>
                <w:color w:val="000000"/>
                <w:spacing w:val="-5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4999" w14:textId="5209AAAA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</w:t>
            </w:r>
            <w:r w:rsidR="007C4CD1">
              <w:rPr>
                <w:b/>
                <w:color w:val="000000"/>
                <w:spacing w:val="-5"/>
              </w:rPr>
              <w:t>6634,7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1B91" w14:textId="492C85E1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</w:t>
            </w:r>
            <w:r w:rsidR="00AE333B">
              <w:rPr>
                <w:b/>
                <w:color w:val="000000"/>
                <w:spacing w:val="-5"/>
              </w:rPr>
              <w:t>2590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713A" w14:textId="043AF84A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</w:t>
            </w:r>
            <w:r w:rsidR="00AE333B">
              <w:rPr>
                <w:b/>
                <w:color w:val="000000"/>
                <w:spacing w:val="-5"/>
              </w:rPr>
              <w:t>2543,2</w:t>
            </w:r>
          </w:p>
        </w:tc>
      </w:tr>
      <w:tr w:rsidR="00D80372" w:rsidRPr="00416AC5" w14:paraId="6B5AC64A" w14:textId="77777777" w:rsidTr="00B94028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D581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color w:val="000000"/>
                <w:spacing w:val="-5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249" w14:textId="2A541DB5" w:rsidR="00D80372" w:rsidRPr="00416AC5" w:rsidRDefault="00AC7894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</w:t>
            </w:r>
            <w:r w:rsidR="00AE333B">
              <w:rPr>
                <w:color w:val="000000"/>
                <w:spacing w:val="-5"/>
              </w:rPr>
              <w:t>218,6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9E11" w14:textId="55606AB0" w:rsidR="00D80372" w:rsidRPr="00416AC5" w:rsidRDefault="00AE333B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4311,4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9F5" w14:textId="10BFCB7A" w:rsidR="00D80372" w:rsidRPr="00416AC5" w:rsidRDefault="00AE333B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4415,1</w:t>
            </w:r>
          </w:p>
        </w:tc>
      </w:tr>
      <w:tr w:rsidR="00D80372" w:rsidRPr="00416AC5" w14:paraId="6CE54F69" w14:textId="77777777" w:rsidTr="00B94028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005E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color w:val="000000"/>
                <w:spacing w:val="-5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D6D1" w14:textId="330FCCE7" w:rsidR="00D80372" w:rsidRPr="00416AC5" w:rsidRDefault="007C4CD1" w:rsidP="007C4CD1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12416,1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BA0A" w14:textId="40EF8F9C" w:rsidR="00D80372" w:rsidRPr="00416AC5" w:rsidRDefault="00E3353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</w:t>
            </w:r>
            <w:r w:rsidR="00AE333B">
              <w:rPr>
                <w:color w:val="000000"/>
                <w:spacing w:val="-5"/>
              </w:rPr>
              <w:t>278,6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841" w14:textId="6D8F01D5" w:rsidR="00D80372" w:rsidRPr="00416AC5" w:rsidRDefault="00AE333B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8128,1</w:t>
            </w:r>
          </w:p>
        </w:tc>
      </w:tr>
      <w:tr w:rsidR="00D80372" w:rsidRPr="00416AC5" w14:paraId="5D709E69" w14:textId="77777777" w:rsidTr="00B94028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5B44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Расходы,</w:t>
            </w:r>
            <w:r w:rsidRPr="00416AC5">
              <w:rPr>
                <w:color w:val="000000"/>
                <w:spacing w:val="-5"/>
                <w:sz w:val="22"/>
                <w:szCs w:val="22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DBC" w14:textId="559216DD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</w:t>
            </w:r>
            <w:r w:rsidR="00AE333B">
              <w:rPr>
                <w:b/>
                <w:color w:val="000000"/>
                <w:spacing w:val="-5"/>
              </w:rPr>
              <w:t>6634,7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B3EE" w14:textId="06B78ED4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</w:t>
            </w:r>
            <w:r w:rsidR="00AE333B">
              <w:rPr>
                <w:b/>
                <w:color w:val="000000"/>
                <w:spacing w:val="-5"/>
              </w:rPr>
              <w:t>2590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640A" w14:textId="2DFBD10B" w:rsidR="00D80372" w:rsidRPr="00416AC5" w:rsidRDefault="00E3353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</w:t>
            </w:r>
            <w:r w:rsidR="008B2044">
              <w:rPr>
                <w:b/>
                <w:color w:val="000000"/>
                <w:spacing w:val="-5"/>
              </w:rPr>
              <w:t>2543,2</w:t>
            </w:r>
          </w:p>
        </w:tc>
      </w:tr>
      <w:tr w:rsidR="00D80372" w:rsidRPr="00416AC5" w14:paraId="6704E1D4" w14:textId="77777777" w:rsidTr="00B94028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06A0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color w:val="000000"/>
                <w:spacing w:val="-5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F1DB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E35" w14:textId="74507CC1" w:rsidR="00D80372" w:rsidRPr="00416AC5" w:rsidRDefault="00AE333B" w:rsidP="00C84133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297,9</w:t>
            </w:r>
            <w:r w:rsidR="00D80372">
              <w:rPr>
                <w:color w:val="000000"/>
                <w:spacing w:val="-5"/>
              </w:rPr>
              <w:t xml:space="preserve"> </w:t>
            </w:r>
            <w:r w:rsidR="00D80372" w:rsidRPr="00404A25">
              <w:rPr>
                <w:color w:val="000000"/>
                <w:spacing w:val="-5"/>
              </w:rPr>
              <w:t>(2,</w:t>
            </w:r>
            <w:r w:rsidR="00D80372">
              <w:rPr>
                <w:color w:val="000000"/>
                <w:spacing w:val="-5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8450" w14:textId="0EE07C47" w:rsidR="00D80372" w:rsidRPr="00416AC5" w:rsidRDefault="00E3353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</w:t>
            </w:r>
            <w:r w:rsidR="008B2044">
              <w:rPr>
                <w:color w:val="000000"/>
                <w:spacing w:val="-5"/>
              </w:rPr>
              <w:t xml:space="preserve">03 </w:t>
            </w:r>
            <w:r w:rsidR="00D80372">
              <w:rPr>
                <w:color w:val="000000"/>
                <w:spacing w:val="-5"/>
              </w:rPr>
              <w:t>(</w:t>
            </w:r>
            <w:r w:rsidR="00D80372" w:rsidRPr="00404A25">
              <w:rPr>
                <w:color w:val="000000"/>
                <w:spacing w:val="-5"/>
              </w:rPr>
              <w:t>5</w:t>
            </w:r>
            <w:r w:rsidR="00D80372">
              <w:rPr>
                <w:color w:val="000000"/>
                <w:spacing w:val="-5"/>
              </w:rPr>
              <w:t>)</w:t>
            </w:r>
          </w:p>
        </w:tc>
      </w:tr>
      <w:tr w:rsidR="00D80372" w:rsidRPr="00416AC5" w14:paraId="5C1129F9" w14:textId="77777777" w:rsidTr="00B94028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6A04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Дефицит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F9C9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829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55B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</w:tr>
      <w:tr w:rsidR="00D80372" w:rsidRPr="00416AC5" w14:paraId="15E88CB8" w14:textId="77777777" w:rsidTr="00B94028"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0BDA" w14:textId="77777777"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6E3A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A493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ED6" w14:textId="77777777"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</w:tr>
    </w:tbl>
    <w:p w14:paraId="4C7A79A8" w14:textId="77777777" w:rsidR="00D80372" w:rsidRDefault="00185BF7" w:rsidP="00D80372">
      <w:pPr>
        <w:ind w:firstLine="567"/>
        <w:jc w:val="both"/>
      </w:pPr>
      <w:r>
        <w:t>В</w:t>
      </w:r>
      <w:r w:rsidR="00D80372">
        <w:t xml:space="preserve"> </w:t>
      </w:r>
      <w:r w:rsidR="00D80372" w:rsidRPr="00547510">
        <w:t xml:space="preserve">соответствии с п.3 ст. 81 БК РФ текстовой частью решения о бюджете установлен резервный фонд администрации </w:t>
      </w:r>
      <w:proofErr w:type="spellStart"/>
      <w:r w:rsidR="00D80372">
        <w:t>Каразейского</w:t>
      </w:r>
      <w:proofErr w:type="spellEnd"/>
      <w:r w:rsidR="00D80372" w:rsidRPr="00547510">
        <w:t xml:space="preserve"> МО на каждый год планового периода в размере по </w:t>
      </w:r>
      <w:r w:rsidR="00D80372">
        <w:t>10</w:t>
      </w:r>
      <w:r w:rsidR="00E818E2">
        <w:t xml:space="preserve"> </w:t>
      </w:r>
      <w:r w:rsidR="00D80372" w:rsidRPr="00547510">
        <w:t>тыс. руб., что не превышает ограничений, установленных Бюджетным Кодексом (3% общего объема расходов). Устанавливаемый резервный фонд составляет 0,</w:t>
      </w:r>
      <w:r w:rsidR="00D80372">
        <w:t>1</w:t>
      </w:r>
      <w:r w:rsidR="00D80372" w:rsidRPr="00547510">
        <w:t>% общего объема ежегодных расходов местного бюджета.</w:t>
      </w:r>
    </w:p>
    <w:p w14:paraId="1199F7C1" w14:textId="23330169" w:rsidR="00D80372" w:rsidRDefault="00D80372" w:rsidP="00D80372">
      <w:pPr>
        <w:ind w:firstLine="567"/>
        <w:jc w:val="both"/>
      </w:pPr>
      <w:r>
        <w:t>Пунктом 1</w:t>
      </w:r>
      <w:r w:rsidR="00AC7894">
        <w:t>0</w:t>
      </w:r>
      <w:r>
        <w:t xml:space="preserve"> текстовой части проекта </w:t>
      </w:r>
      <w:r w:rsidR="00AC7894">
        <w:t xml:space="preserve">решения Думы о </w:t>
      </w:r>
      <w:r>
        <w:t>бюджет</w:t>
      </w:r>
      <w:r w:rsidR="00AC7894">
        <w:t>е</w:t>
      </w:r>
      <w:r>
        <w:t xml:space="preserve"> предлагается утвердить объем бюджетных ассигнований дорожного фонда муниципального образования на </w:t>
      </w:r>
      <w:r w:rsidR="000E76FA">
        <w:t>202</w:t>
      </w:r>
      <w:r w:rsidR="00F9603A">
        <w:t>4</w:t>
      </w:r>
      <w:r>
        <w:t xml:space="preserve"> год и на плановый период </w:t>
      </w:r>
      <w:r w:rsidR="000E76FA">
        <w:t>202</w:t>
      </w:r>
      <w:r w:rsidR="00F9603A">
        <w:t>5</w:t>
      </w:r>
      <w:r w:rsidR="00A14B2A">
        <w:t>-</w:t>
      </w:r>
      <w:r w:rsidR="000E76FA">
        <w:t>202</w:t>
      </w:r>
      <w:r w:rsidR="00F9603A">
        <w:t>6</w:t>
      </w:r>
      <w:r>
        <w:t>гг. в размере прогнозируемых в соответствующем п</w:t>
      </w:r>
      <w:r w:rsidR="00B73A26">
        <w:t xml:space="preserve">ериоде акцизов на нефтепродукты: на </w:t>
      </w:r>
      <w:r w:rsidR="000E76FA">
        <w:t>202</w:t>
      </w:r>
      <w:r w:rsidR="00F9603A">
        <w:t>4</w:t>
      </w:r>
      <w:r w:rsidR="00B73A26">
        <w:t xml:space="preserve">г. – </w:t>
      </w:r>
      <w:r w:rsidR="00AC7894">
        <w:t>1</w:t>
      </w:r>
      <w:r w:rsidR="00F9603A">
        <w:t>473,1</w:t>
      </w:r>
      <w:r w:rsidR="00B73A26">
        <w:t xml:space="preserve"> тыс. руб., на </w:t>
      </w:r>
      <w:r w:rsidR="000E76FA">
        <w:t>202</w:t>
      </w:r>
      <w:r w:rsidR="00F9603A">
        <w:t>5</w:t>
      </w:r>
      <w:r w:rsidR="00B73A26">
        <w:t>г. – 1</w:t>
      </w:r>
      <w:r w:rsidR="00F9603A">
        <w:t>517,8</w:t>
      </w:r>
      <w:r w:rsidR="00B73A26">
        <w:t xml:space="preserve"> тыс. руб., на </w:t>
      </w:r>
      <w:r w:rsidR="000E76FA">
        <w:t>202</w:t>
      </w:r>
      <w:r w:rsidR="00F9603A">
        <w:t>6</w:t>
      </w:r>
      <w:r w:rsidR="00B73A26">
        <w:t xml:space="preserve">г. – </w:t>
      </w:r>
      <w:r w:rsidR="00AC7894">
        <w:t>1</w:t>
      </w:r>
      <w:r w:rsidR="00F9603A">
        <w:t>570,5</w:t>
      </w:r>
      <w:r w:rsidR="00B73A26">
        <w:t xml:space="preserve"> тыс. руб.</w:t>
      </w:r>
    </w:p>
    <w:p w14:paraId="70C8A988" w14:textId="2C7092D1" w:rsidR="00AC7894" w:rsidRDefault="00AC7894" w:rsidP="00D80372">
      <w:pPr>
        <w:ind w:firstLine="567"/>
        <w:jc w:val="both"/>
      </w:pPr>
      <w:r w:rsidRPr="00AC7894">
        <w:t xml:space="preserve">Пунктом 11 текстовой части проекта решения Думы о бюджете </w:t>
      </w:r>
      <w:r>
        <w:t>предлагается утвердить</w:t>
      </w:r>
      <w:r w:rsidRPr="00AC7894">
        <w:t xml:space="preserve"> верхний предел муниципального внутреннего долга с указанием в том числе верхнего предела долга по муниципальным гарантиям по состоянию на 1 января года, следующего за очередным финансовым годом и каждым годом планового периода в размере 0 рублей</w:t>
      </w:r>
      <w:r>
        <w:t>.</w:t>
      </w:r>
    </w:p>
    <w:p w14:paraId="5AC252CC" w14:textId="46DEE8ED" w:rsidR="00D80372" w:rsidRDefault="00D80372" w:rsidP="00B73A26">
      <w:pPr>
        <w:ind w:firstLine="567"/>
        <w:jc w:val="both"/>
      </w:pPr>
      <w:r w:rsidRPr="00E332A3">
        <w:t xml:space="preserve">Пунктом </w:t>
      </w:r>
      <w:r>
        <w:t>1</w:t>
      </w:r>
      <w:r w:rsidR="00AC7894">
        <w:t>3</w:t>
      </w:r>
      <w:r>
        <w:t xml:space="preserve"> проекта </w:t>
      </w:r>
      <w:r w:rsidRPr="00C942EC">
        <w:t>решения о бюджете утвержд</w:t>
      </w:r>
      <w:r>
        <w:t>ается</w:t>
      </w:r>
      <w:r w:rsidRPr="00C942EC">
        <w:t xml:space="preserve"> программа муниципальных внутренних заимствований на </w:t>
      </w:r>
      <w:r w:rsidR="000E76FA">
        <w:t>202</w:t>
      </w:r>
      <w:r w:rsidR="00F9603A">
        <w:t>4</w:t>
      </w:r>
      <w:r>
        <w:t xml:space="preserve"> год и плановый период </w:t>
      </w:r>
      <w:r w:rsidR="000E76FA">
        <w:t>202</w:t>
      </w:r>
      <w:r w:rsidR="00F9603A">
        <w:t>5</w:t>
      </w:r>
      <w:r>
        <w:t xml:space="preserve"> и </w:t>
      </w:r>
      <w:r w:rsidR="000E76FA">
        <w:t>202</w:t>
      </w:r>
      <w:r w:rsidR="00F9603A">
        <w:t>6</w:t>
      </w:r>
      <w:r>
        <w:t xml:space="preserve"> годов</w:t>
      </w:r>
      <w:r w:rsidRPr="00C942EC">
        <w:t xml:space="preserve"> </w:t>
      </w:r>
      <w:proofErr w:type="spellStart"/>
      <w:r>
        <w:t>Каразейского</w:t>
      </w:r>
      <w:proofErr w:type="spellEnd"/>
      <w:r w:rsidRPr="00C942EC">
        <w:t xml:space="preserve"> муниципального образования</w:t>
      </w:r>
      <w:r>
        <w:t xml:space="preserve">, из которой следует, что </w:t>
      </w:r>
      <w:r w:rsidR="005D43E8">
        <w:t>муниципальный долг на 01.01.</w:t>
      </w:r>
      <w:r w:rsidR="000E76FA">
        <w:t>202</w:t>
      </w:r>
      <w:r w:rsidR="00F9603A">
        <w:t>4</w:t>
      </w:r>
      <w:r>
        <w:t xml:space="preserve">г. отсутствует и привлекать заимствования не предполагается. </w:t>
      </w:r>
    </w:p>
    <w:p w14:paraId="6BEF31FA" w14:textId="45EE0CC2" w:rsidR="00D80372" w:rsidRDefault="00D80372" w:rsidP="00D80372">
      <w:pPr>
        <w:ind w:firstLine="540"/>
        <w:jc w:val="both"/>
      </w:pPr>
      <w:r>
        <w:t xml:space="preserve">В целом </w:t>
      </w:r>
      <w:bookmarkStart w:id="0" w:name="_Hlk151373332"/>
      <w:r>
        <w:t>показатели проекта решения о бюджете соответствуют</w:t>
      </w:r>
      <w:r w:rsidRPr="00DC7904">
        <w:t xml:space="preserve">   установленным БК РФ принципам</w:t>
      </w:r>
      <w:r>
        <w:t xml:space="preserve"> сбалансированности бюджета (ст.33 БК РФ) и общего (совокупного) покрытия расходов бюджетов (ст.35 БК РФ). Бюджет сформирован бездефицитный. </w:t>
      </w:r>
      <w:r w:rsidRPr="00834F9E">
        <w:t xml:space="preserve">Верхний предел муниципального долга </w:t>
      </w:r>
      <w:proofErr w:type="spellStart"/>
      <w:r>
        <w:t>Каразейского</w:t>
      </w:r>
      <w:proofErr w:type="spellEnd"/>
      <w:r w:rsidRPr="00834F9E">
        <w:t xml:space="preserve"> МО на 01.01.</w:t>
      </w:r>
      <w:r w:rsidR="000E76FA">
        <w:t>202</w:t>
      </w:r>
      <w:r w:rsidR="00F9603A">
        <w:t>5</w:t>
      </w:r>
      <w:r w:rsidRPr="00834F9E">
        <w:t>г.</w:t>
      </w:r>
      <w:r w:rsidR="00FE0BC2">
        <w:t>, на 01.01.</w:t>
      </w:r>
      <w:r w:rsidR="000E76FA">
        <w:t>202</w:t>
      </w:r>
      <w:r w:rsidR="00F9603A">
        <w:t>6</w:t>
      </w:r>
      <w:r w:rsidR="00FE0BC2">
        <w:t>г., на 01.01.202</w:t>
      </w:r>
      <w:r w:rsidR="00F9603A">
        <w:t>7</w:t>
      </w:r>
      <w:r>
        <w:t>г.</w:t>
      </w:r>
      <w:r w:rsidRPr="00834F9E">
        <w:t xml:space="preserve"> предусмотрен </w:t>
      </w:r>
      <w:r>
        <w:t xml:space="preserve">нулевой. </w:t>
      </w:r>
      <w:r w:rsidRPr="00834F9E">
        <w:t xml:space="preserve">Требования к размеру резервного фонда администрации поселения соблюдены (п. 3 ст. 81 БК РФ), объему бюджетных ассигнований </w:t>
      </w:r>
      <w:r w:rsidRPr="00834F9E">
        <w:lastRenderedPageBreak/>
        <w:t xml:space="preserve">Дорожного фонда поселения соблюдены (п. </w:t>
      </w:r>
      <w:r>
        <w:t>5</w:t>
      </w:r>
      <w:r w:rsidRPr="00834F9E">
        <w:t xml:space="preserve"> ст</w:t>
      </w:r>
      <w:r>
        <w:t>. 179.4 БК РФ)</w:t>
      </w:r>
      <w:r w:rsidR="00AC7894">
        <w:t>,</w:t>
      </w:r>
      <w:r w:rsidR="00AC7894" w:rsidRPr="00AC7894">
        <w:t xml:space="preserve"> к объему условно утверждаемых расходов </w:t>
      </w:r>
      <w:r w:rsidR="00AC7894">
        <w:t xml:space="preserve">соблюдены </w:t>
      </w:r>
      <w:r w:rsidR="00AC7894" w:rsidRPr="00AC7894">
        <w:t>(п. 3 ст. 184.1 БК РФ).</w:t>
      </w:r>
    </w:p>
    <w:bookmarkEnd w:id="0"/>
    <w:p w14:paraId="525D23CD" w14:textId="77777777" w:rsidR="00D80372" w:rsidRDefault="00D80372" w:rsidP="00D80372">
      <w:pPr>
        <w:jc w:val="center"/>
        <w:rPr>
          <w:b/>
        </w:rPr>
      </w:pPr>
    </w:p>
    <w:p w14:paraId="5A336389" w14:textId="77777777" w:rsidR="00D80372" w:rsidRPr="00F97F63" w:rsidRDefault="00D80372" w:rsidP="00D80372">
      <w:pPr>
        <w:jc w:val="center"/>
        <w:rPr>
          <w:b/>
        </w:rPr>
      </w:pPr>
      <w:r>
        <w:rPr>
          <w:b/>
        </w:rPr>
        <w:t>3</w:t>
      </w:r>
      <w:r w:rsidRPr="009C6AE8">
        <w:rPr>
          <w:b/>
        </w:rPr>
        <w:t xml:space="preserve">.1. </w:t>
      </w:r>
      <w:r w:rsidRPr="00F97F63">
        <w:rPr>
          <w:b/>
        </w:rPr>
        <w:t xml:space="preserve">Характеристика проекта бюджета </w:t>
      </w:r>
      <w:proofErr w:type="spellStart"/>
      <w:r>
        <w:rPr>
          <w:b/>
        </w:rPr>
        <w:t>Каразейского</w:t>
      </w:r>
      <w:proofErr w:type="spellEnd"/>
      <w:r>
        <w:rPr>
          <w:b/>
        </w:rPr>
        <w:t xml:space="preserve"> </w:t>
      </w:r>
      <w:r w:rsidRPr="00F97F63">
        <w:rPr>
          <w:b/>
        </w:rPr>
        <w:t>МО по доходам</w:t>
      </w:r>
    </w:p>
    <w:p w14:paraId="007E6679" w14:textId="30BE26C9" w:rsidR="00D80372" w:rsidRDefault="00D80372" w:rsidP="00D80372">
      <w:pPr>
        <w:jc w:val="center"/>
        <w:rPr>
          <w:b/>
        </w:rPr>
      </w:pPr>
      <w:r w:rsidRPr="00F97F63">
        <w:rPr>
          <w:b/>
        </w:rPr>
        <w:t xml:space="preserve">на </w:t>
      </w:r>
      <w:r w:rsidR="000E76FA">
        <w:rPr>
          <w:b/>
        </w:rPr>
        <w:t>202</w:t>
      </w:r>
      <w:r w:rsidR="00F9603A">
        <w:rPr>
          <w:b/>
        </w:rPr>
        <w:t>4</w:t>
      </w:r>
      <w:r w:rsidRPr="00F97F63">
        <w:rPr>
          <w:b/>
        </w:rPr>
        <w:t xml:space="preserve"> год и плановый период </w:t>
      </w:r>
      <w:r w:rsidR="000E76FA">
        <w:rPr>
          <w:b/>
        </w:rPr>
        <w:t>202</w:t>
      </w:r>
      <w:r w:rsidR="00F9603A">
        <w:rPr>
          <w:b/>
        </w:rPr>
        <w:t>5</w:t>
      </w:r>
      <w:r w:rsidRPr="00F97F63">
        <w:rPr>
          <w:b/>
        </w:rPr>
        <w:t>-</w:t>
      </w:r>
      <w:r w:rsidR="000E76FA">
        <w:rPr>
          <w:b/>
        </w:rPr>
        <w:t>202</w:t>
      </w:r>
      <w:r w:rsidR="00F9603A">
        <w:rPr>
          <w:b/>
        </w:rPr>
        <w:t>6</w:t>
      </w:r>
      <w:r w:rsidRPr="00F97F63">
        <w:rPr>
          <w:b/>
        </w:rPr>
        <w:t>гг.</w:t>
      </w:r>
    </w:p>
    <w:p w14:paraId="0C2DF26C" w14:textId="5C7F40D4" w:rsidR="00D80372" w:rsidRPr="000C6D6B" w:rsidRDefault="00D80372" w:rsidP="00D80372">
      <w:pPr>
        <w:ind w:firstLine="567"/>
        <w:jc w:val="both"/>
      </w:pPr>
      <w:r>
        <w:t>Формирование доходной части бюджета му</w:t>
      </w:r>
      <w:r w:rsidR="001D2DB7">
        <w:t xml:space="preserve">ниципального образования на </w:t>
      </w:r>
      <w:r w:rsidR="000E76FA">
        <w:t>202</w:t>
      </w:r>
      <w:r w:rsidR="00F9603A">
        <w:t>4</w:t>
      </w:r>
      <w:r w:rsidR="001D2DB7">
        <w:t xml:space="preserve"> год и на плановый период </w:t>
      </w:r>
      <w:r w:rsidR="000E76FA">
        <w:t>202</w:t>
      </w:r>
      <w:r w:rsidR="00F9603A">
        <w:t>5</w:t>
      </w:r>
      <w:r w:rsidR="001D2DB7">
        <w:t xml:space="preserve"> и </w:t>
      </w:r>
      <w:r w:rsidR="000E76FA">
        <w:t>202</w:t>
      </w:r>
      <w:r w:rsidR="00F9603A">
        <w:t>6</w:t>
      </w:r>
      <w:r>
        <w:t xml:space="preserve"> годов осуществлено с учетом ожидаемых поступлений</w:t>
      </w:r>
      <w:r w:rsidR="001D2DB7">
        <w:t xml:space="preserve"> налогов и других платежей в 20</w:t>
      </w:r>
      <w:r w:rsidR="00B73A26">
        <w:t>2</w:t>
      </w:r>
      <w:r w:rsidR="00F9603A">
        <w:t>3</w:t>
      </w:r>
      <w:r>
        <w:t xml:space="preserve"> году. </w:t>
      </w:r>
    </w:p>
    <w:p w14:paraId="59B9D121" w14:textId="04313394" w:rsidR="00D80372" w:rsidRDefault="00D80372" w:rsidP="00D80372">
      <w:pPr>
        <w:jc w:val="both"/>
      </w:pPr>
      <w:r>
        <w:tab/>
        <w:t>Основные характ</w:t>
      </w:r>
      <w:r w:rsidR="001D2DB7">
        <w:t xml:space="preserve">еристики доходов бюджета на </w:t>
      </w:r>
      <w:r w:rsidR="000E76FA">
        <w:t>202</w:t>
      </w:r>
      <w:r w:rsidR="00F9603A">
        <w:t>4</w:t>
      </w:r>
      <w:r w:rsidR="001D2DB7">
        <w:t>-</w:t>
      </w:r>
      <w:r w:rsidR="000E76FA">
        <w:t>202</w:t>
      </w:r>
      <w:r w:rsidR="00F9603A">
        <w:t>6</w:t>
      </w:r>
      <w:r>
        <w:t xml:space="preserve"> годов представлены в таблице № </w:t>
      </w:r>
      <w:r w:rsidR="00AC7894">
        <w:t>3</w:t>
      </w:r>
      <w:r>
        <w:t>.</w:t>
      </w:r>
    </w:p>
    <w:p w14:paraId="4898D7A9" w14:textId="30AEF94C" w:rsidR="00D80372" w:rsidRDefault="00D80372" w:rsidP="00D8037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№ </w:t>
      </w:r>
      <w:r w:rsidR="00AC7894">
        <w:t>3</w:t>
      </w:r>
      <w:r>
        <w:t>, тыс. руб.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1134"/>
        <w:gridCol w:w="992"/>
        <w:gridCol w:w="993"/>
        <w:gridCol w:w="1134"/>
        <w:gridCol w:w="1134"/>
        <w:gridCol w:w="1134"/>
      </w:tblGrid>
      <w:tr w:rsidR="00D80372" w:rsidRPr="00416AC5" w14:paraId="0EF4F6F8" w14:textId="77777777" w:rsidTr="000C5254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982" w14:textId="77777777" w:rsidR="00D80372" w:rsidRPr="005868B8" w:rsidRDefault="00D80372" w:rsidP="000C5254">
            <w:pPr>
              <w:jc w:val="center"/>
              <w:rPr>
                <w:b/>
                <w:sz w:val="20"/>
                <w:szCs w:val="20"/>
              </w:rPr>
            </w:pPr>
          </w:p>
          <w:p w14:paraId="628ED545" w14:textId="77777777" w:rsidR="00D80372" w:rsidRPr="005868B8" w:rsidRDefault="00D80372" w:rsidP="000C5254">
            <w:pPr>
              <w:jc w:val="center"/>
              <w:rPr>
                <w:b/>
                <w:sz w:val="20"/>
                <w:szCs w:val="20"/>
              </w:rPr>
            </w:pPr>
            <w:r w:rsidRPr="005868B8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821" w14:textId="77777777"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</w:p>
          <w:p w14:paraId="2510D839" w14:textId="5DF57768"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Оценка </w:t>
            </w:r>
            <w:r w:rsidR="00BA1FCD"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3</w:t>
            </w:r>
          </w:p>
          <w:p w14:paraId="1243B8F5" w14:textId="77777777"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5F6" w14:textId="75C77913" w:rsidR="00D80372" w:rsidRPr="005868B8" w:rsidRDefault="00D80372" w:rsidP="00BA1FC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Проект </w:t>
            </w:r>
            <w:r w:rsidR="000E76FA"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8BA" w14:textId="4F5A8F36" w:rsidR="00D80372" w:rsidRDefault="000E76FA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4</w:t>
            </w:r>
            <w:r w:rsidR="00D80372" w:rsidRPr="005868B8">
              <w:rPr>
                <w:b/>
                <w:sz w:val="18"/>
                <w:szCs w:val="18"/>
              </w:rPr>
              <w:t>/</w:t>
            </w:r>
          </w:p>
          <w:p w14:paraId="6E991A05" w14:textId="6AB9BC48" w:rsidR="00D80372" w:rsidRDefault="00BA1FCD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3</w:t>
            </w:r>
          </w:p>
          <w:p w14:paraId="028814CD" w14:textId="77777777"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E00" w14:textId="26E08130" w:rsidR="00D80372" w:rsidRPr="005868B8" w:rsidRDefault="00D80372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Прогноз </w:t>
            </w:r>
            <w:r w:rsidR="000E76FA"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5</w:t>
            </w:r>
            <w:r w:rsidRPr="005868B8">
              <w:rPr>
                <w:b/>
                <w:sz w:val="18"/>
                <w:szCs w:val="18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1250" w14:textId="6B6D6C89" w:rsidR="00D80372" w:rsidRDefault="000E76FA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5</w:t>
            </w:r>
            <w:r w:rsidR="00D80372" w:rsidRPr="005868B8">
              <w:rPr>
                <w:b/>
                <w:sz w:val="18"/>
                <w:szCs w:val="18"/>
              </w:rPr>
              <w:t>/</w:t>
            </w:r>
          </w:p>
          <w:p w14:paraId="280D6F84" w14:textId="26943342" w:rsidR="00D80372" w:rsidRDefault="000E76FA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4</w:t>
            </w:r>
          </w:p>
          <w:p w14:paraId="267BD660" w14:textId="77777777"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5EC" w14:textId="0F106AAF"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Прогноз </w:t>
            </w:r>
            <w:r w:rsidR="000E76FA"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6</w:t>
            </w:r>
            <w:r w:rsidRPr="005868B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AFA7" w14:textId="49F01B97" w:rsidR="00D80372" w:rsidRDefault="000E76FA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6</w:t>
            </w:r>
            <w:r w:rsidR="00D80372">
              <w:rPr>
                <w:b/>
                <w:sz w:val="18"/>
                <w:szCs w:val="18"/>
              </w:rPr>
              <w:t>/</w:t>
            </w:r>
          </w:p>
          <w:p w14:paraId="7A216950" w14:textId="71BB13A4" w:rsidR="00D80372" w:rsidRDefault="000E76FA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D76DDA">
              <w:rPr>
                <w:b/>
                <w:sz w:val="18"/>
                <w:szCs w:val="18"/>
              </w:rPr>
              <w:t>5</w:t>
            </w:r>
          </w:p>
          <w:p w14:paraId="6ED2257C" w14:textId="77777777" w:rsidR="00D80372" w:rsidRPr="005868B8" w:rsidRDefault="00D80372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80372" w:rsidRPr="00416AC5" w14:paraId="1438EEE2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161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34E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B61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9E1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4B5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EE6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DCDF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D26" w14:textId="77777777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0BE7" w:rsidRPr="00416AC5" w14:paraId="7BFA31C7" w14:textId="77777777" w:rsidTr="000C5254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0CB" w14:textId="7D3F8E03" w:rsidR="00230BE7" w:rsidRPr="00416AC5" w:rsidRDefault="00230BE7" w:rsidP="00230B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1A87" w14:textId="1710C7C5" w:rsidR="00230BE7" w:rsidRPr="00416AC5" w:rsidRDefault="006275C9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4A2" w14:textId="1325C107" w:rsidR="00230BE7" w:rsidRPr="00416AC5" w:rsidRDefault="00D76DDA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A6E" w14:textId="0DC9D3CE" w:rsidR="00230BE7" w:rsidRPr="00416AC5" w:rsidRDefault="00FB6DA2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4E9" w14:textId="03B5F655" w:rsidR="00230BE7" w:rsidRPr="00416AC5" w:rsidRDefault="00D76DDA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EA9" w14:textId="4F4FB6C4" w:rsidR="00230BE7" w:rsidRPr="00416AC5" w:rsidRDefault="003F5252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1871" w14:textId="79AA4C63" w:rsidR="00230BE7" w:rsidRPr="00416AC5" w:rsidRDefault="00D76DDA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205" w14:textId="4DF9D348" w:rsidR="00230BE7" w:rsidRPr="00416AC5" w:rsidRDefault="003F5252" w:rsidP="00230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</w:p>
        </w:tc>
      </w:tr>
      <w:tr w:rsidR="00230BE7" w:rsidRPr="00416AC5" w14:paraId="6EC602D1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8F0" w14:textId="77777777" w:rsidR="00230BE7" w:rsidRPr="00416AC5" w:rsidRDefault="00230BE7" w:rsidP="00230BE7">
            <w:pPr>
              <w:jc w:val="both"/>
              <w:rPr>
                <w:b/>
                <w:i/>
                <w:sz w:val="20"/>
                <w:szCs w:val="20"/>
              </w:rPr>
            </w:pPr>
            <w:r w:rsidRPr="00416AC5">
              <w:rPr>
                <w:b/>
                <w:i/>
                <w:sz w:val="20"/>
                <w:szCs w:val="20"/>
              </w:rPr>
              <w:t>в том числе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CC96" w14:textId="446E6B67" w:rsidR="00230BE7" w:rsidRPr="00416AC5" w:rsidRDefault="006275C9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8AE" w14:textId="61FE45D2" w:rsidR="00230BE7" w:rsidRPr="00416AC5" w:rsidRDefault="000C24FA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485" w14:textId="5474BE6B" w:rsidR="00230BE7" w:rsidRPr="00416AC5" w:rsidRDefault="00FB6DA2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F15" w14:textId="34615E17" w:rsidR="00230BE7" w:rsidRPr="00416AC5" w:rsidRDefault="003F5252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A729" w14:textId="3D44C6F3" w:rsidR="00230BE7" w:rsidRPr="00416AC5" w:rsidRDefault="003F5252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203" w14:textId="1E63A51E" w:rsidR="00230BE7" w:rsidRPr="00416AC5" w:rsidRDefault="00884692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049" w14:textId="31884686" w:rsidR="00230BE7" w:rsidRPr="00416AC5" w:rsidRDefault="003F5252" w:rsidP="00230BE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102,4</w:t>
            </w:r>
          </w:p>
        </w:tc>
      </w:tr>
      <w:tr w:rsidR="00230BE7" w:rsidRPr="00416AC5" w14:paraId="1B173E2B" w14:textId="77777777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742" w14:textId="77777777" w:rsidR="00230BE7" w:rsidRPr="00416AC5" w:rsidRDefault="00230BE7" w:rsidP="00230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838" w14:textId="4C4F32ED" w:rsidR="00230BE7" w:rsidRPr="00416AC5" w:rsidRDefault="006275C9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4CA2" w14:textId="3029F457" w:rsidR="00230BE7" w:rsidRPr="00416AC5" w:rsidRDefault="000C24FA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6D9" w14:textId="4152F472" w:rsidR="00230BE7" w:rsidRPr="00416AC5" w:rsidRDefault="00FB6DA2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6E10" w14:textId="5C8C8534" w:rsidR="00230BE7" w:rsidRPr="00416AC5" w:rsidRDefault="00FB6DA2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D60" w14:textId="23D1944E" w:rsidR="00230BE7" w:rsidRPr="00416AC5" w:rsidRDefault="003F5252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C33E" w14:textId="2CA6479D" w:rsidR="00230BE7" w:rsidRPr="00416AC5" w:rsidRDefault="00884692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36B" w14:textId="2B3C2DF1" w:rsidR="00230BE7" w:rsidRPr="00416AC5" w:rsidRDefault="003F5252" w:rsidP="00230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D80372" w:rsidRPr="00416AC5" w14:paraId="484F133C" w14:textId="77777777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97B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96EC" w14:textId="000EA759" w:rsidR="00D80372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382" w14:textId="10DD0D59" w:rsidR="00D80372" w:rsidRPr="00416AC5" w:rsidRDefault="000C24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218" w14:textId="5B98AEF6" w:rsidR="00D80372" w:rsidRPr="00416AC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73D4" w14:textId="10DE6112" w:rsidR="00D80372" w:rsidRPr="00416AC5" w:rsidRDefault="008C660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4F15" w14:textId="0934C62C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B8C" w14:textId="728BCC59" w:rsidR="00D80372" w:rsidRPr="00416AC5" w:rsidRDefault="008C660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7611" w14:textId="3C995C8A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306FF123" w14:textId="77777777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352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A132" w14:textId="7E1B5F68" w:rsidR="00D80372" w:rsidRPr="00416AC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BBAE" w14:textId="754A436B" w:rsidR="00D80372" w:rsidRPr="00416AC5" w:rsidRDefault="000C24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4C0" w14:textId="3B2234A4" w:rsidR="00D80372" w:rsidRPr="00416AC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89E" w14:textId="3D9ACAAC" w:rsidR="00D80372" w:rsidRPr="00416AC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816" w14:textId="5B13CE52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0CC" w14:textId="103E33CF" w:rsidR="00D80372" w:rsidRPr="00416AC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C8D" w14:textId="7BE6B519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2D42B2BB" w14:textId="77777777" w:rsidTr="000C5254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58E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0A43" w14:textId="6836F317" w:rsidR="00D80372" w:rsidRPr="00416AC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5F5E" w14:textId="3D7400F1" w:rsidR="00D80372" w:rsidRPr="00416AC5" w:rsidRDefault="000C24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6760" w14:textId="25C1046E" w:rsidR="00D80372" w:rsidRPr="00416AC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9A2" w14:textId="6CD7C256" w:rsidR="00D80372" w:rsidRPr="00416AC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8177" w14:textId="34D4693B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931C" w14:textId="34A9DC73" w:rsidR="00D80372" w:rsidRPr="00416AC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40D" w14:textId="18FD1DB0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37BFE26A" w14:textId="77777777" w:rsidTr="000C5254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B02" w14:textId="54DBBB5F"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Доходы от уплаты акцизов по подакцизным товарам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C15" w14:textId="2D35CCF5" w:rsidR="00D80372" w:rsidRPr="00416AC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6AF4" w14:textId="2C8011E9" w:rsidR="00D80372" w:rsidRPr="00416AC5" w:rsidRDefault="000C24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466" w14:textId="066CDF17" w:rsidR="00D80372" w:rsidRPr="00416AC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218B" w14:textId="0C5E958A" w:rsidR="00D80372" w:rsidRPr="00416AC5" w:rsidRDefault="00FB6DA2" w:rsidP="0058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A99" w14:textId="3C6ACA79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5EF" w14:textId="06DF3F86" w:rsidR="00D80372" w:rsidRPr="00416AC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  <w:r w:rsidR="00884692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04E" w14:textId="0643C466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D80372" w:rsidRPr="00416AC5" w14:paraId="1C05DFF2" w14:textId="77777777" w:rsidTr="000C5254">
        <w:trPr>
          <w:trHeight w:val="3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C92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127E" w14:textId="1F18A135" w:rsidR="00D80372" w:rsidRPr="00416AC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5E" w14:textId="529620C2" w:rsidR="00D80372" w:rsidRPr="00416AC5" w:rsidRDefault="000C24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2D96" w14:textId="240612DE" w:rsidR="00D80372" w:rsidRPr="00416AC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B56D" w14:textId="5A1E9642" w:rsidR="00D80372" w:rsidRPr="00416AC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D996" w14:textId="15B41634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1CD" w14:textId="05626BA9" w:rsidR="00D80372" w:rsidRPr="00416AC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C2A" w14:textId="0BEEA82F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870B6" w14:paraId="3DBFB596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298" w14:textId="77777777" w:rsidR="00D80372" w:rsidRPr="00416AC5" w:rsidRDefault="00D80372" w:rsidP="000C5254">
            <w:pPr>
              <w:rPr>
                <w:b/>
                <w:i/>
                <w:sz w:val="20"/>
                <w:szCs w:val="20"/>
              </w:rPr>
            </w:pPr>
            <w:r w:rsidRPr="00416AC5">
              <w:rPr>
                <w:b/>
                <w:i/>
                <w:sz w:val="20"/>
                <w:szCs w:val="20"/>
              </w:rPr>
              <w:t xml:space="preserve">неналоговые доходы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1639" w14:textId="45EC0191" w:rsidR="00D80372" w:rsidRPr="00416AC5" w:rsidRDefault="006275C9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412" w14:textId="3C361E9C" w:rsidR="00D80372" w:rsidRPr="00416AC5" w:rsidRDefault="000C24FA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0B" w14:textId="6D6D0D99" w:rsidR="00D80372" w:rsidRPr="00416AC5" w:rsidRDefault="00FB6DA2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B29A" w14:textId="2D165B53" w:rsidR="00D80372" w:rsidRPr="00416AC5" w:rsidRDefault="00884692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7E4F" w14:textId="6DD433C7" w:rsidR="00D80372" w:rsidRPr="00416AC5" w:rsidRDefault="003F5252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7AA" w14:textId="000C046D" w:rsidR="00D80372" w:rsidRPr="005870B6" w:rsidRDefault="00884692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BDE" w14:textId="03C1A7A3" w:rsidR="00D80372" w:rsidRPr="005870B6" w:rsidRDefault="003F5252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D80372" w:rsidRPr="005870B6" w14:paraId="3691E36F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F55" w14:textId="0CB0068E" w:rsidR="00D80372" w:rsidRPr="00CE680A" w:rsidRDefault="00D80372" w:rsidP="000C5254">
            <w:pPr>
              <w:ind w:right="-108"/>
              <w:rPr>
                <w:sz w:val="20"/>
                <w:szCs w:val="20"/>
              </w:rPr>
            </w:pPr>
            <w:r w:rsidRPr="00CE680A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аренды имущества, находящегося в </w:t>
            </w:r>
            <w:proofErr w:type="spellStart"/>
            <w:r>
              <w:rPr>
                <w:sz w:val="20"/>
                <w:szCs w:val="20"/>
              </w:rPr>
              <w:t>мунип</w:t>
            </w:r>
            <w:proofErr w:type="spellEnd"/>
            <w:r>
              <w:rPr>
                <w:sz w:val="20"/>
                <w:szCs w:val="20"/>
              </w:rPr>
              <w:t>. собственности</w:t>
            </w:r>
            <w:r w:rsidRPr="00CE6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9E6" w14:textId="6F3DB294" w:rsidR="00D80372" w:rsidRPr="00727518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F683" w14:textId="32FB1A04" w:rsidR="00D80372" w:rsidRPr="00727518" w:rsidRDefault="000C24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DC8" w14:textId="2622D39D" w:rsidR="00D80372" w:rsidRPr="00727518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25A" w14:textId="544CF783" w:rsidR="00D80372" w:rsidRPr="00727518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E417" w14:textId="033E92CC" w:rsidR="00D80372" w:rsidRPr="00727518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0C1D" w14:textId="14D5218C" w:rsidR="00D80372" w:rsidRPr="00727518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280" w14:textId="7021D409" w:rsidR="00D80372" w:rsidRPr="00727518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253648C9" w14:textId="77777777" w:rsidTr="000C5254">
        <w:trPr>
          <w:trHeight w:val="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63D" w14:textId="77777777"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A17" w14:textId="06590B33" w:rsidR="00D80372" w:rsidRPr="00416AC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C95" w14:textId="3A416421" w:rsidR="00D80372" w:rsidRPr="00416AC5" w:rsidRDefault="000C24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ED01" w14:textId="2EB0DD04" w:rsidR="00D80372" w:rsidRPr="00416AC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2724" w14:textId="4D5EAB90" w:rsidR="00D80372" w:rsidRPr="00416AC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983" w14:textId="0B593A9A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A5E" w14:textId="4E33838B" w:rsidR="00D80372" w:rsidRPr="00416AC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9F54" w14:textId="5E120786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14:paraId="13CAE014" w14:textId="77777777" w:rsidTr="000C5254">
        <w:trPr>
          <w:trHeight w:val="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6BF" w14:textId="57F81D4C"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компенсации затрат бюджета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5B0D" w14:textId="076427AF" w:rsidR="00D80372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EE5F" w14:textId="79AB225F" w:rsidR="00D80372" w:rsidRPr="00416AC5" w:rsidRDefault="000C24F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486" w14:textId="521BAF1B" w:rsidR="00D80372" w:rsidRPr="00416AC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137F" w14:textId="21A2021B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A850" w14:textId="7929EF5F" w:rsidR="00D80372" w:rsidRPr="00416AC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A8E1" w14:textId="6D594C23"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92D6" w14:textId="74B7874D" w:rsidR="00D80372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372" w:rsidRPr="00416AC5" w14:paraId="1411CA31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BEA" w14:textId="472F7C3B" w:rsidR="00D80372" w:rsidRPr="00416AC5" w:rsidRDefault="00404A25" w:rsidP="000C52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  <w:r w:rsidR="00D80372">
              <w:rPr>
                <w:b/>
                <w:sz w:val="20"/>
                <w:szCs w:val="20"/>
              </w:rPr>
              <w:t>, в т.ч.</w:t>
            </w:r>
            <w:r w:rsidR="00D80372" w:rsidRPr="00416A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93E" w14:textId="47344E8B" w:rsidR="00D80372" w:rsidRPr="00416AC5" w:rsidRDefault="006275C9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8550" w14:textId="23F5B724" w:rsidR="00D80372" w:rsidRPr="00416AC5" w:rsidRDefault="00D76DD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D70" w14:textId="7A0723FB" w:rsidR="00D80372" w:rsidRPr="00416AC5" w:rsidRDefault="00FB6DA2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9CC" w14:textId="13FAA643" w:rsidR="00D80372" w:rsidRPr="00416AC5" w:rsidRDefault="00D76DD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78A" w14:textId="69D62CE0" w:rsidR="00D80372" w:rsidRPr="00416AC5" w:rsidRDefault="003F5252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5092" w14:textId="1F785B14" w:rsidR="00D80372" w:rsidRPr="00416AC5" w:rsidRDefault="00D76DD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90C" w14:textId="474AA71B" w:rsidR="00D80372" w:rsidRPr="00416AC5" w:rsidRDefault="003F5252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</w:tr>
      <w:tr w:rsidR="00070925" w:rsidRPr="00416AC5" w14:paraId="758754A8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28F" w14:textId="77777777"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9BD" w14:textId="63F5EBD0" w:rsidR="00070925" w:rsidRPr="0007092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D91" w14:textId="6A21C0FC" w:rsidR="00070925" w:rsidRPr="0007092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CF93" w14:textId="226B46F9" w:rsidR="00070925" w:rsidRPr="0007092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375" w14:textId="4B7C8578" w:rsidR="00070925" w:rsidRPr="0007092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D2B" w14:textId="6C10A849" w:rsidR="00070925" w:rsidRPr="0007092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00C" w14:textId="26958DF2" w:rsidR="00070925" w:rsidRPr="0007092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364" w14:textId="023979C2" w:rsidR="00070925" w:rsidRPr="0007092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070925" w:rsidRPr="00416AC5" w14:paraId="53E149DF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F5C" w14:textId="77777777"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FD9" w14:textId="1EDB03C3" w:rsidR="00070925" w:rsidRPr="0007092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6975" w14:textId="27B7EAE9" w:rsidR="00070925" w:rsidRPr="0007092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90A2" w14:textId="6A04A92D" w:rsidR="00070925" w:rsidRPr="0007092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C9B" w14:textId="40F05092" w:rsidR="00070925" w:rsidRPr="0007092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368" w14:textId="411D6DAE" w:rsidR="00070925" w:rsidRPr="0007092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977" w14:textId="52DE9B89" w:rsidR="00070925" w:rsidRPr="0007092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874D" w14:textId="1B1C3B7E" w:rsidR="00070925" w:rsidRPr="0007092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925" w:rsidRPr="00416AC5" w14:paraId="1645B0B6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2FF" w14:textId="77777777"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3218" w14:textId="490600C6" w:rsidR="00070925" w:rsidRPr="0007092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1B3" w14:textId="64C89572" w:rsidR="00070925" w:rsidRPr="0007092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599" w14:textId="2AF0DAB9" w:rsidR="00070925" w:rsidRPr="0007092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114" w14:textId="04FA4D2C" w:rsidR="00070925" w:rsidRPr="0007092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594" w14:textId="05865608" w:rsidR="00070925" w:rsidRPr="0007092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DC63" w14:textId="195C7AAF" w:rsidR="00070925" w:rsidRPr="0007092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91D7" w14:textId="4B35FF1F" w:rsidR="00070925" w:rsidRPr="0007092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04A25" w:rsidRPr="00416AC5" w14:paraId="7502E80D" w14:textId="77777777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741" w14:textId="5D4A44C1" w:rsidR="00404A25" w:rsidRDefault="00404A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5EC0" w14:textId="0E5B395E" w:rsidR="00404A25" w:rsidRPr="00070925" w:rsidRDefault="006275C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D70D" w14:textId="7E1A0FF3" w:rsidR="00404A25" w:rsidRPr="0007092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C565" w14:textId="7503A4E6" w:rsidR="00404A25" w:rsidRPr="00070925" w:rsidRDefault="00FB6DA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BF6" w14:textId="68127128" w:rsidR="00404A25" w:rsidRPr="0007092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ECB" w14:textId="0D9F1BFE" w:rsidR="00404A25" w:rsidRPr="0007092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64F3" w14:textId="268C0824" w:rsidR="00404A25" w:rsidRPr="00070925" w:rsidRDefault="0088469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AAFF" w14:textId="71891AFB" w:rsidR="00404A25" w:rsidRDefault="003F525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372" w:rsidRPr="00416AC5" w14:paraId="26507E84" w14:textId="77777777" w:rsidTr="00D76DDA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429" w14:textId="77777777" w:rsidR="00D80372" w:rsidRPr="00416AC5" w:rsidRDefault="00D80372" w:rsidP="000C5254">
            <w:pPr>
              <w:jc w:val="both"/>
              <w:rPr>
                <w:b/>
                <w:sz w:val="20"/>
                <w:szCs w:val="20"/>
              </w:rPr>
            </w:pPr>
            <w:r w:rsidRPr="00416AC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BA8" w14:textId="6095FAB6" w:rsidR="00D80372" w:rsidRPr="00416AC5" w:rsidRDefault="006275C9" w:rsidP="000C525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FCE" w14:textId="0D091958" w:rsidR="00D80372" w:rsidRPr="00416AC5" w:rsidRDefault="00D76DD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828" w14:textId="20A46275" w:rsidR="00D80372" w:rsidRPr="00416AC5" w:rsidRDefault="00FB6DA2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AD2" w14:textId="55BDDFBB" w:rsidR="00D80372" w:rsidRPr="00416AC5" w:rsidRDefault="00D76DD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088" w14:textId="4DC63761" w:rsidR="00D80372" w:rsidRPr="00416AC5" w:rsidRDefault="003F5252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2DDE" w14:textId="51E61C26" w:rsidR="00D80372" w:rsidRPr="00416AC5" w:rsidRDefault="00D76DD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D08" w14:textId="124C678D" w:rsidR="00D80372" w:rsidRPr="00416AC5" w:rsidRDefault="002055E2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</w:tbl>
    <w:p w14:paraId="2C480321" w14:textId="472EEA42" w:rsidR="00370EF1" w:rsidRDefault="007A238F" w:rsidP="00252763">
      <w:pPr>
        <w:autoSpaceDE w:val="0"/>
        <w:autoSpaceDN w:val="0"/>
        <w:adjustRightInd w:val="0"/>
        <w:ind w:firstLine="567"/>
        <w:jc w:val="both"/>
      </w:pPr>
      <w:r w:rsidRPr="00C6715B">
        <w:t>Как видно из таблицы, в сравнении с ожидаемым исполнением доходной части бюджета в 202</w:t>
      </w:r>
      <w:r w:rsidR="00370EF1">
        <w:t>3</w:t>
      </w:r>
      <w:r w:rsidRPr="00C6715B">
        <w:t xml:space="preserve"> году, </w:t>
      </w:r>
      <w:r w:rsidRPr="000319B6">
        <w:rPr>
          <w:b/>
          <w:bCs/>
        </w:rPr>
        <w:t xml:space="preserve">на </w:t>
      </w:r>
      <w:r w:rsidR="000E76FA" w:rsidRPr="000319B6">
        <w:rPr>
          <w:b/>
          <w:bCs/>
        </w:rPr>
        <w:t>20</w:t>
      </w:r>
      <w:r w:rsidR="00370EF1" w:rsidRPr="000319B6">
        <w:rPr>
          <w:b/>
          <w:bCs/>
        </w:rPr>
        <w:t>24</w:t>
      </w:r>
      <w:r w:rsidRPr="000319B6">
        <w:rPr>
          <w:b/>
          <w:bCs/>
        </w:rPr>
        <w:t xml:space="preserve"> год</w:t>
      </w:r>
      <w:r w:rsidRPr="00C6715B">
        <w:rPr>
          <w:u w:val="single"/>
        </w:rPr>
        <w:t xml:space="preserve"> </w:t>
      </w:r>
      <w:r w:rsidRPr="00C6715B">
        <w:t xml:space="preserve">прогнозируется </w:t>
      </w:r>
      <w:r w:rsidR="00370EF1">
        <w:t>рост</w:t>
      </w:r>
      <w:r w:rsidRPr="00C6715B">
        <w:t xml:space="preserve"> доходов бюджета </w:t>
      </w:r>
      <w:r w:rsidR="004551A8" w:rsidRPr="00C6715B">
        <w:t xml:space="preserve">на </w:t>
      </w:r>
      <w:r w:rsidR="00370EF1">
        <w:t>1,7</w:t>
      </w:r>
      <w:r w:rsidR="004551A8" w:rsidRPr="00C6715B">
        <w:t>%</w:t>
      </w:r>
      <w:r w:rsidR="001D45F6" w:rsidRPr="00C6715B">
        <w:t xml:space="preserve">, или на </w:t>
      </w:r>
      <w:r w:rsidR="00370EF1">
        <w:t>274,9</w:t>
      </w:r>
      <w:r w:rsidR="001D45F6" w:rsidRPr="00C6715B">
        <w:t xml:space="preserve"> тыс. руб., в том числе за счет </w:t>
      </w:r>
      <w:r w:rsidR="00BC01D4">
        <w:t>роста налоговых доходов на 16,5% или на 586,1 тыс. руб. При этом прогнозируется снижение безвозмездных поступлений на 306,3 тыс. руб., или на 2,4%, неналоговых доходов на 4,9 тыс. руб., или на 5,2%.</w:t>
      </w:r>
    </w:p>
    <w:p w14:paraId="4C9E680C" w14:textId="70D4A328" w:rsidR="007815AE" w:rsidRPr="00C6715B" w:rsidRDefault="000319B6" w:rsidP="00252763">
      <w:pPr>
        <w:autoSpaceDE w:val="0"/>
        <w:autoSpaceDN w:val="0"/>
        <w:adjustRightInd w:val="0"/>
        <w:ind w:firstLine="567"/>
        <w:jc w:val="both"/>
      </w:pPr>
      <w:r w:rsidRPr="000319B6">
        <w:rPr>
          <w:b/>
          <w:bCs/>
        </w:rPr>
        <w:t>В 2025 году</w:t>
      </w:r>
      <w:r>
        <w:t xml:space="preserve"> по отношению к прогнозу 2024 года </w:t>
      </w:r>
      <w:r w:rsidRPr="000319B6">
        <w:t>рост</w:t>
      </w:r>
      <w:r>
        <w:t xml:space="preserve"> налоговых доходов составит 2,3%, </w:t>
      </w:r>
      <w:r w:rsidR="00252763" w:rsidRPr="00C6715B">
        <w:t>неналоговых доходов рост</w:t>
      </w:r>
      <w:r w:rsidR="003D63AB">
        <w:t>а не</w:t>
      </w:r>
      <w:r w:rsidR="00252763" w:rsidRPr="00C6715B">
        <w:t xml:space="preserve"> ожидается</w:t>
      </w:r>
      <w:r w:rsidR="003D63AB">
        <w:t>,</w:t>
      </w:r>
      <w:r w:rsidR="00252763" w:rsidRPr="00C6715B">
        <w:t xml:space="preserve"> безвозмездных </w:t>
      </w:r>
      <w:r w:rsidR="001230F0" w:rsidRPr="00C6715B">
        <w:t xml:space="preserve">поступлений </w:t>
      </w:r>
      <w:r w:rsidR="00252763" w:rsidRPr="00C6715B">
        <w:t>ожидается</w:t>
      </w:r>
      <w:bookmarkStart w:id="1" w:name="_GoBack"/>
      <w:bookmarkEnd w:id="1"/>
      <w:r w:rsidR="00252763" w:rsidRPr="00C6715B">
        <w:t xml:space="preserve"> снижение на </w:t>
      </w:r>
      <w:r>
        <w:t>33,3</w:t>
      </w:r>
      <w:r w:rsidR="00252763" w:rsidRPr="00C6715B">
        <w:t>%.</w:t>
      </w:r>
      <w:r w:rsidR="00D759EA" w:rsidRPr="00C6715B">
        <w:t xml:space="preserve"> Предполагается, что налоговые и неналоговые доходы поступят в </w:t>
      </w:r>
      <w:r w:rsidR="000E76FA" w:rsidRPr="00C6715B">
        <w:t>202</w:t>
      </w:r>
      <w:r>
        <w:t>5</w:t>
      </w:r>
      <w:r w:rsidR="00D759EA" w:rsidRPr="00C6715B">
        <w:t xml:space="preserve"> году в объеме </w:t>
      </w:r>
      <w:r>
        <w:t>4311,4</w:t>
      </w:r>
      <w:r w:rsidR="00D759EA" w:rsidRPr="00C6715B">
        <w:t xml:space="preserve"> тыс. руб. и составят 3</w:t>
      </w:r>
      <w:r>
        <w:t>4,2</w:t>
      </w:r>
      <w:r w:rsidR="00D759EA" w:rsidRPr="00C6715B">
        <w:t xml:space="preserve">% в общем объеме доходов бюджета. Объем безвозмездных поступлений </w:t>
      </w:r>
      <w:r w:rsidR="001230F0" w:rsidRPr="00C6715B">
        <w:t xml:space="preserve">на </w:t>
      </w:r>
      <w:r w:rsidR="000E76FA" w:rsidRPr="00C6715B">
        <w:t>202</w:t>
      </w:r>
      <w:r>
        <w:t>5</w:t>
      </w:r>
      <w:r w:rsidR="001230F0" w:rsidRPr="00C6715B">
        <w:t xml:space="preserve"> год ожидается в размере </w:t>
      </w:r>
      <w:r>
        <w:t>8278,6</w:t>
      </w:r>
      <w:r w:rsidR="001230F0" w:rsidRPr="00C6715B">
        <w:t xml:space="preserve"> тыс. руб., что составит 6</w:t>
      </w:r>
      <w:r>
        <w:t>5,2</w:t>
      </w:r>
      <w:r w:rsidR="001230F0" w:rsidRPr="00C6715B">
        <w:t>% в общих объемах доходов.</w:t>
      </w:r>
    </w:p>
    <w:p w14:paraId="4A55C859" w14:textId="64DA2ED7" w:rsidR="000319B6" w:rsidRDefault="00D80372" w:rsidP="00D80372">
      <w:pPr>
        <w:ind w:firstLine="567"/>
        <w:jc w:val="both"/>
      </w:pPr>
      <w:r w:rsidRPr="00C6715B">
        <w:tab/>
      </w:r>
      <w:r w:rsidRPr="000319B6">
        <w:rPr>
          <w:b/>
          <w:bCs/>
        </w:rPr>
        <w:t xml:space="preserve">На </w:t>
      </w:r>
      <w:r w:rsidR="000E76FA" w:rsidRPr="000319B6">
        <w:rPr>
          <w:b/>
          <w:bCs/>
        </w:rPr>
        <w:t>202</w:t>
      </w:r>
      <w:r w:rsidR="000319B6" w:rsidRPr="000319B6">
        <w:rPr>
          <w:b/>
          <w:bCs/>
        </w:rPr>
        <w:t>6</w:t>
      </w:r>
      <w:r w:rsidRPr="000319B6">
        <w:rPr>
          <w:b/>
          <w:bCs/>
        </w:rPr>
        <w:t xml:space="preserve"> год</w:t>
      </w:r>
      <w:r w:rsidRPr="00C6715B">
        <w:t xml:space="preserve"> </w:t>
      </w:r>
      <w:r w:rsidR="000319B6">
        <w:t xml:space="preserve">доходная база прогнозируется в объеме 12543,2 тыс. руб., что на 46,8 тыс. руб., или на </w:t>
      </w:r>
      <w:r w:rsidR="006F1709">
        <w:t>0,4</w:t>
      </w:r>
      <w:r w:rsidR="000319B6">
        <w:t xml:space="preserve">% </w:t>
      </w:r>
      <w:r w:rsidR="006F1709">
        <w:t>меньше</w:t>
      </w:r>
      <w:r w:rsidR="000319B6">
        <w:t xml:space="preserve"> прогнозируемых поступлений в 202</w:t>
      </w:r>
      <w:r w:rsidR="006F1709">
        <w:t>5</w:t>
      </w:r>
      <w:r w:rsidR="000319B6">
        <w:t xml:space="preserve"> году. Налоговые и </w:t>
      </w:r>
      <w:r w:rsidR="000319B6">
        <w:lastRenderedPageBreak/>
        <w:t xml:space="preserve">неналоговые доходы </w:t>
      </w:r>
      <w:r w:rsidR="006F1709">
        <w:t xml:space="preserve">составят 4415,1 </w:t>
      </w:r>
      <w:r w:rsidR="000319B6">
        <w:t xml:space="preserve">тыс. руб., что на </w:t>
      </w:r>
      <w:r w:rsidR="006F1709">
        <w:t>2,4</w:t>
      </w:r>
      <w:r w:rsidR="000319B6">
        <w:t>% больше прогнозируемых поступлений 202</w:t>
      </w:r>
      <w:r w:rsidR="006F1709">
        <w:t>5</w:t>
      </w:r>
      <w:r w:rsidR="000319B6">
        <w:t xml:space="preserve"> года. Безвозмездные поступления на 202</w:t>
      </w:r>
      <w:r w:rsidR="006F1709">
        <w:t>6</w:t>
      </w:r>
      <w:r w:rsidR="000319B6">
        <w:t xml:space="preserve"> год запланированы в сумме </w:t>
      </w:r>
      <w:r w:rsidR="006F1709">
        <w:t>8128,1</w:t>
      </w:r>
      <w:r w:rsidR="000319B6">
        <w:t xml:space="preserve"> тыс. руб., или на </w:t>
      </w:r>
      <w:r w:rsidR="006F1709">
        <w:t>1,8</w:t>
      </w:r>
      <w:r w:rsidR="000319B6">
        <w:t xml:space="preserve">% </w:t>
      </w:r>
      <w:r w:rsidR="006F1709">
        <w:t>меньше</w:t>
      </w:r>
      <w:r w:rsidR="000319B6">
        <w:t xml:space="preserve"> ожидаемого поступления 202</w:t>
      </w:r>
      <w:r w:rsidR="006F1709">
        <w:t>5</w:t>
      </w:r>
      <w:r w:rsidR="000319B6">
        <w:t xml:space="preserve"> года.</w:t>
      </w:r>
    </w:p>
    <w:p w14:paraId="3F2393E4" w14:textId="1D7F72A5" w:rsidR="000319B6" w:rsidRDefault="006F1709" w:rsidP="00D80372">
      <w:pPr>
        <w:ind w:firstLine="567"/>
        <w:jc w:val="both"/>
      </w:pPr>
      <w:r>
        <w:t xml:space="preserve">В трехлетней </w:t>
      </w:r>
      <w:r w:rsidR="00C4525F">
        <w:t xml:space="preserve">перспективе структура доходов бюджета </w:t>
      </w:r>
      <w:proofErr w:type="spellStart"/>
      <w:r w:rsidR="00C4525F">
        <w:t>Каразейского</w:t>
      </w:r>
      <w:proofErr w:type="spellEnd"/>
      <w:r w:rsidR="00C4525F">
        <w:t xml:space="preserve"> муниципального образования кардинальных изменений не претерпит, традиционно преобладают безвозмездные поступления</w:t>
      </w:r>
      <w:r w:rsidR="007A12B1">
        <w:t xml:space="preserve">, доля которых в общей сумме доходов поселения в </w:t>
      </w:r>
      <w:r w:rsidR="0032713B">
        <w:t xml:space="preserve">2022 году составляла 74,2%, в </w:t>
      </w:r>
      <w:r w:rsidR="007A12B1">
        <w:t>2023 году ожидается на уровне 77,8%, в 2024 году – 74,6%, в 2025 году – 65,8%, в 2026 году – 64,8%</w:t>
      </w:r>
      <w:r w:rsidR="0032713B">
        <w:t>, что сохранит зависимость бюджета поселения от других бюджетов бюджетной системы РФ</w:t>
      </w:r>
      <w:r w:rsidR="007A12B1">
        <w:t>.</w:t>
      </w:r>
    </w:p>
    <w:p w14:paraId="786D3BD1" w14:textId="0626DE5E" w:rsidR="007A12B1" w:rsidRDefault="007A12B1" w:rsidP="00D80372">
      <w:pPr>
        <w:ind w:firstLine="567"/>
        <w:jc w:val="both"/>
      </w:pPr>
      <w:r>
        <w:t xml:space="preserve">Структура доходов бюджета </w:t>
      </w:r>
      <w:proofErr w:type="spellStart"/>
      <w:r>
        <w:t>Каразейского</w:t>
      </w:r>
      <w:proofErr w:type="spellEnd"/>
      <w:r>
        <w:t xml:space="preserve"> муниципального образования </w:t>
      </w:r>
      <w:r w:rsidR="008C0F49">
        <w:t>в 2022-2026</w:t>
      </w:r>
      <w:r w:rsidR="00850D77">
        <w:t xml:space="preserve"> годах </w:t>
      </w:r>
      <w:r>
        <w:t>д представлена на рисунке №1.</w:t>
      </w:r>
    </w:p>
    <w:p w14:paraId="472E55AC" w14:textId="31A6C8CA" w:rsidR="007A12B1" w:rsidRDefault="007A12B1" w:rsidP="00D80372">
      <w:pPr>
        <w:ind w:firstLine="567"/>
        <w:jc w:val="both"/>
      </w:pPr>
    </w:p>
    <w:p w14:paraId="71BD3D6C" w14:textId="77777777" w:rsidR="007A12B1" w:rsidRDefault="007A12B1" w:rsidP="00D80372">
      <w:pPr>
        <w:ind w:firstLine="567"/>
        <w:jc w:val="both"/>
      </w:pPr>
    </w:p>
    <w:p w14:paraId="47B19309" w14:textId="77777777" w:rsidR="00850D77" w:rsidRDefault="00D80372" w:rsidP="00D80372">
      <w:pPr>
        <w:jc w:val="both"/>
      </w:pPr>
      <w:r>
        <w:rPr>
          <w:noProof/>
        </w:rPr>
        <w:drawing>
          <wp:inline distT="0" distB="0" distL="0" distR="0" wp14:anchorId="6157EA39" wp14:editId="3338C64E">
            <wp:extent cx="6000750" cy="21050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43085">
        <w:t xml:space="preserve"> </w:t>
      </w:r>
      <w:r>
        <w:tab/>
      </w:r>
    </w:p>
    <w:p w14:paraId="343F2630" w14:textId="6EBCA7ED" w:rsidR="00D80372" w:rsidRDefault="00D80372" w:rsidP="004326F1">
      <w:pPr>
        <w:jc w:val="center"/>
        <w:rPr>
          <w:b/>
          <w:u w:val="single"/>
        </w:rPr>
      </w:pPr>
      <w:r w:rsidRPr="00C354F2">
        <w:rPr>
          <w:b/>
          <w:u w:val="single"/>
        </w:rPr>
        <w:t>Налоговые доходы бюджета поселения</w:t>
      </w:r>
    </w:p>
    <w:p w14:paraId="3900293E" w14:textId="6C374CAF" w:rsidR="002F74FE" w:rsidRDefault="00D80372" w:rsidP="00D80372">
      <w:pPr>
        <w:ind w:firstLine="567"/>
        <w:jc w:val="both"/>
      </w:pPr>
      <w:r w:rsidRPr="00A43085">
        <w:t xml:space="preserve">Налоговые доходы в </w:t>
      </w:r>
      <w:r w:rsidR="000E76FA">
        <w:t>202</w:t>
      </w:r>
      <w:r w:rsidR="002F74FE">
        <w:t>4</w:t>
      </w:r>
      <w:r w:rsidR="00BA1FCD">
        <w:t xml:space="preserve"> </w:t>
      </w:r>
      <w:r w:rsidRPr="00A43085">
        <w:t xml:space="preserve">году, как и в предыдущие годы, являются основой налоговых и неналоговых доходов бюджета поселения, в составе которых наибольший удельный вес имеют доходы </w:t>
      </w:r>
      <w:r>
        <w:t xml:space="preserve">от </w:t>
      </w:r>
      <w:r w:rsidR="002F74FE">
        <w:t>уплаты акцизов  по подакцизным товарам – 34,9% и от  уплаты ЕСХН – 32%.</w:t>
      </w:r>
    </w:p>
    <w:p w14:paraId="48A38DD5" w14:textId="77777777" w:rsidR="002F74FE" w:rsidRDefault="002F74FE" w:rsidP="002F74FE">
      <w:pPr>
        <w:ind w:firstLine="567"/>
        <w:jc w:val="both"/>
      </w:pPr>
      <w:r w:rsidRPr="00966066">
        <w:t xml:space="preserve">По информации финансового управления администрации МО Куйтунский район на </w:t>
      </w:r>
      <w:r>
        <w:t xml:space="preserve">01.10.2023 года недоимка по налогам в бюджет поселения составила 160,5 тыс. руб. </w:t>
      </w:r>
      <w:r w:rsidRPr="00966066">
        <w:t xml:space="preserve">(аналогичный период прошлого года </w:t>
      </w:r>
      <w:r>
        <w:t>–</w:t>
      </w:r>
      <w:r w:rsidRPr="00966066">
        <w:t xml:space="preserve"> </w:t>
      </w:r>
      <w:r>
        <w:t>236,2</w:t>
      </w:r>
      <w:r w:rsidRPr="00966066">
        <w:t xml:space="preserve"> тыс. руб.).</w:t>
      </w:r>
    </w:p>
    <w:p w14:paraId="12757C7F" w14:textId="5E500FA5" w:rsidR="002F74FE" w:rsidRDefault="002F74FE" w:rsidP="00D80372">
      <w:pPr>
        <w:ind w:firstLine="567"/>
        <w:jc w:val="both"/>
      </w:pPr>
    </w:p>
    <w:p w14:paraId="4D6284C8" w14:textId="77777777" w:rsidR="00D80372" w:rsidRPr="00A66CF8" w:rsidRDefault="00D80372" w:rsidP="00D80372">
      <w:pPr>
        <w:ind w:firstLine="567"/>
        <w:jc w:val="center"/>
        <w:rPr>
          <w:b/>
          <w:i/>
        </w:rPr>
      </w:pPr>
      <w:r>
        <w:rPr>
          <w:b/>
          <w:i/>
        </w:rPr>
        <w:t>Доходы от уплаты акцизов по подакцизным товарам</w:t>
      </w:r>
    </w:p>
    <w:p w14:paraId="3F2068F4" w14:textId="04A65F40" w:rsidR="00854166" w:rsidRDefault="00A64F77" w:rsidP="00A64F77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Главным администратором данного вида доходов является Межрайонная ИФНС России № 6 по Иркутской области, которая доводит информацию о прогнозе поступлений акцизов в бюджеты поселений. </w:t>
      </w:r>
      <w:r w:rsidR="00D80372">
        <w:t>За счет доходов от акцизов формируются дорожные фонды поселений.</w:t>
      </w:r>
      <w:r w:rsidR="00D80372" w:rsidRPr="00C123BA">
        <w:t xml:space="preserve"> </w:t>
      </w:r>
    </w:p>
    <w:p w14:paraId="178EF1DC" w14:textId="54B5013E" w:rsidR="00364E24" w:rsidRDefault="00182605" w:rsidP="00854166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Проектом бюджета поступление доходов по подакцизным товарам на </w:t>
      </w:r>
      <w:r w:rsidR="000E76FA">
        <w:t>202</w:t>
      </w:r>
      <w:r w:rsidR="00854166">
        <w:t>4</w:t>
      </w:r>
      <w:r>
        <w:t xml:space="preserve"> год прогнозируется в сумме </w:t>
      </w:r>
      <w:r w:rsidR="00966066" w:rsidRPr="00364E24">
        <w:rPr>
          <w:b/>
          <w:bCs/>
        </w:rPr>
        <w:t>1</w:t>
      </w:r>
      <w:r w:rsidR="00854166" w:rsidRPr="00364E24">
        <w:rPr>
          <w:b/>
          <w:bCs/>
        </w:rPr>
        <w:t>473,1</w:t>
      </w:r>
      <w:r w:rsidRPr="00364E24">
        <w:rPr>
          <w:b/>
          <w:bCs/>
        </w:rPr>
        <w:t xml:space="preserve"> тыс. руб</w:t>
      </w:r>
      <w:r>
        <w:t>., что больше ожидаемого исполнения 202</w:t>
      </w:r>
      <w:r w:rsidR="00854166">
        <w:t>3</w:t>
      </w:r>
      <w:r>
        <w:t xml:space="preserve"> года на </w:t>
      </w:r>
      <w:r w:rsidR="00854166">
        <w:t>284,6</w:t>
      </w:r>
      <w:r>
        <w:t xml:space="preserve"> тыс. руб.,</w:t>
      </w:r>
      <w:r w:rsidR="00364E24">
        <w:t xml:space="preserve"> или 24%.</w:t>
      </w:r>
      <w:r w:rsidR="00A64F77">
        <w:t xml:space="preserve"> </w:t>
      </w:r>
      <w:r w:rsidR="00364E24">
        <w:t>Прогноз доходов от акцизов на 2025-2026 годы – 1517,8 тыс. руб. и 1570,5 тыс. руб. соответственно. Темп роста данного доходного источника на 2025 год – 103%, на 2026 год – 103,5%.</w:t>
      </w:r>
    </w:p>
    <w:p w14:paraId="3EFD8230" w14:textId="77777777" w:rsidR="00775A20" w:rsidRDefault="00775A20" w:rsidP="00854166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</w:p>
    <w:p w14:paraId="1029EAD5" w14:textId="77777777" w:rsidR="00D80372" w:rsidRDefault="00D80372" w:rsidP="00D80372">
      <w:pPr>
        <w:ind w:firstLine="567"/>
        <w:jc w:val="center"/>
        <w:rPr>
          <w:b/>
          <w:i/>
        </w:rPr>
      </w:pPr>
      <w:r w:rsidRPr="00A441D3">
        <w:rPr>
          <w:color w:val="FF0000"/>
        </w:rPr>
        <w:t xml:space="preserve">       </w:t>
      </w:r>
      <w:r w:rsidRPr="002A2DE8">
        <w:rPr>
          <w:b/>
          <w:i/>
        </w:rPr>
        <w:t>Налог на доходы физических лиц</w:t>
      </w:r>
    </w:p>
    <w:p w14:paraId="33229B03" w14:textId="49418E05" w:rsidR="00BE4B8E" w:rsidRDefault="00BE4B8E" w:rsidP="00BE4B8E">
      <w:pPr>
        <w:autoSpaceDE w:val="0"/>
        <w:autoSpaceDN w:val="0"/>
        <w:adjustRightInd w:val="0"/>
        <w:ind w:firstLine="567"/>
        <w:jc w:val="both"/>
      </w:pPr>
      <w:r w:rsidRPr="00F821BD">
        <w:t xml:space="preserve">В </w:t>
      </w:r>
      <w:r>
        <w:t>проекте бюджета</w:t>
      </w:r>
      <w:r w:rsidRPr="00F821BD">
        <w:t xml:space="preserve"> поступление налога на доходы физических лиц в </w:t>
      </w:r>
      <w:r w:rsidR="000E76FA">
        <w:t>202</w:t>
      </w:r>
      <w:r w:rsidR="00364E24">
        <w:t>4</w:t>
      </w:r>
      <w:r w:rsidRPr="00F821BD">
        <w:t xml:space="preserve"> году прогнозируется в сумме </w:t>
      </w:r>
      <w:r w:rsidR="00364E24">
        <w:rPr>
          <w:b/>
        </w:rPr>
        <w:t>801,2</w:t>
      </w:r>
      <w:r>
        <w:rPr>
          <w:b/>
        </w:rPr>
        <w:t xml:space="preserve"> тыс</w:t>
      </w:r>
      <w:r w:rsidRPr="00CC248A">
        <w:rPr>
          <w:b/>
        </w:rPr>
        <w:t>. руб</w:t>
      </w:r>
      <w:r w:rsidR="00B97A11">
        <w:rPr>
          <w:b/>
        </w:rPr>
        <w:t>.,</w:t>
      </w:r>
      <w:r>
        <w:rPr>
          <w:b/>
        </w:rPr>
        <w:t xml:space="preserve"> </w:t>
      </w:r>
      <w:r w:rsidRPr="003406A8">
        <w:t xml:space="preserve">что </w:t>
      </w:r>
      <w:r w:rsidRPr="00F821BD">
        <w:t xml:space="preserve">составляет </w:t>
      </w:r>
      <w:r w:rsidR="00364E24">
        <w:t>114,5</w:t>
      </w:r>
      <w:r w:rsidRPr="00F821BD">
        <w:t>% к ожидаем</w:t>
      </w:r>
      <w:r>
        <w:t>ым</w:t>
      </w:r>
      <w:r w:rsidRPr="00F821BD">
        <w:t xml:space="preserve"> поступлени</w:t>
      </w:r>
      <w:r>
        <w:t>ям</w:t>
      </w:r>
      <w:r w:rsidRPr="00F821BD">
        <w:t xml:space="preserve"> </w:t>
      </w:r>
      <w:r>
        <w:t>202</w:t>
      </w:r>
      <w:r w:rsidR="00364E24">
        <w:t>3</w:t>
      </w:r>
      <w:r w:rsidRPr="00F821BD">
        <w:t xml:space="preserve"> года</w:t>
      </w:r>
      <w:r>
        <w:t>. Согласно представленного реестра источников доходов бюджета кассовое поступление налога на доходы физических лиц текущего финансового года по состоянию на 1 ноября 202</w:t>
      </w:r>
      <w:r w:rsidR="00364E24">
        <w:t>3</w:t>
      </w:r>
      <w:r>
        <w:t xml:space="preserve"> года составило </w:t>
      </w:r>
      <w:r w:rsidR="00364E24">
        <w:t>631,8</w:t>
      </w:r>
      <w:r>
        <w:t xml:space="preserve"> тыс. руб., или </w:t>
      </w:r>
      <w:r w:rsidR="00364E24">
        <w:t>90,3</w:t>
      </w:r>
      <w:r>
        <w:t>% от ожидаемого годового исполнения (</w:t>
      </w:r>
      <w:r w:rsidR="00F9720A">
        <w:t>7</w:t>
      </w:r>
      <w:r w:rsidR="00364E24">
        <w:t>00</w:t>
      </w:r>
      <w:r>
        <w:t xml:space="preserve"> тыс. руб.). </w:t>
      </w:r>
      <w:r w:rsidRPr="00734488">
        <w:t>Недоимка по данному налогу на 01.1</w:t>
      </w:r>
      <w:r>
        <w:t>0</w:t>
      </w:r>
      <w:r w:rsidRPr="00734488">
        <w:t>.</w:t>
      </w:r>
      <w:r>
        <w:t>202</w:t>
      </w:r>
      <w:r w:rsidR="002B2A19">
        <w:t>3</w:t>
      </w:r>
      <w:r w:rsidRPr="00734488">
        <w:t>г. составляет</w:t>
      </w:r>
      <w:r>
        <w:t xml:space="preserve"> </w:t>
      </w:r>
      <w:r w:rsidR="002B2A19">
        <w:t>4,7</w:t>
      </w:r>
      <w:r>
        <w:t xml:space="preserve"> </w:t>
      </w:r>
      <w:r w:rsidRPr="00734488">
        <w:t xml:space="preserve">тыс. </w:t>
      </w:r>
      <w:r w:rsidRPr="00734488">
        <w:lastRenderedPageBreak/>
        <w:t>руб.</w:t>
      </w:r>
      <w:r w:rsidRPr="00137AFE">
        <w:rPr>
          <w:b/>
        </w:rPr>
        <w:t xml:space="preserve"> </w:t>
      </w:r>
      <w:r>
        <w:t xml:space="preserve">Прогноз поступлений налога на доходы физических лиц в бюджет в </w:t>
      </w:r>
      <w:r w:rsidR="000E76FA">
        <w:t>202</w:t>
      </w:r>
      <w:r w:rsidR="00FA089D">
        <w:t>5</w:t>
      </w:r>
      <w:r>
        <w:t xml:space="preserve"> году составляет </w:t>
      </w:r>
      <w:r w:rsidR="00FA089D">
        <w:t>849,3</w:t>
      </w:r>
      <w:r>
        <w:t xml:space="preserve"> тыс. руб., или </w:t>
      </w:r>
      <w:r w:rsidR="006E002E">
        <w:t>10</w:t>
      </w:r>
      <w:r w:rsidR="00FA089D">
        <w:t>6</w:t>
      </w:r>
      <w:r>
        <w:t xml:space="preserve">% к прогнозу </w:t>
      </w:r>
      <w:r w:rsidR="000E76FA">
        <w:t>202</w:t>
      </w:r>
      <w:r w:rsidR="00FA089D">
        <w:t>4</w:t>
      </w:r>
      <w:r>
        <w:t xml:space="preserve"> года, в </w:t>
      </w:r>
      <w:r w:rsidR="000E76FA">
        <w:t>202</w:t>
      </w:r>
      <w:r w:rsidR="00FA089D">
        <w:t>6</w:t>
      </w:r>
      <w:r>
        <w:t xml:space="preserve"> году – </w:t>
      </w:r>
      <w:r w:rsidR="00FA089D">
        <w:t>900,3</w:t>
      </w:r>
      <w:r>
        <w:t xml:space="preserve"> </w:t>
      </w:r>
      <w:r w:rsidR="006E002E">
        <w:t>тыс. руб., или 10</w:t>
      </w:r>
      <w:r w:rsidR="00FA089D">
        <w:t>6</w:t>
      </w:r>
      <w:r>
        <w:t xml:space="preserve">% к </w:t>
      </w:r>
      <w:r w:rsidR="000E76FA">
        <w:t>202</w:t>
      </w:r>
      <w:r w:rsidR="00FA089D">
        <w:t>5</w:t>
      </w:r>
      <w:r>
        <w:t xml:space="preserve"> году. </w:t>
      </w:r>
    </w:p>
    <w:p w14:paraId="684994D3" w14:textId="5B177432" w:rsidR="00AC3C4C" w:rsidRDefault="00775A20" w:rsidP="00BE4B8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Следует отметить, </w:t>
      </w:r>
      <w:r w:rsidRPr="00AC3C4C">
        <w:rPr>
          <w:b/>
          <w:bCs/>
        </w:rPr>
        <w:t xml:space="preserve">что </w:t>
      </w:r>
      <w:bookmarkStart w:id="2" w:name="_Hlk151373481"/>
      <w:r w:rsidRPr="00AC3C4C">
        <w:rPr>
          <w:b/>
          <w:bCs/>
        </w:rPr>
        <w:t>з</w:t>
      </w:r>
      <w:r w:rsidR="00431AB2" w:rsidRPr="00AC3C4C">
        <w:rPr>
          <w:b/>
          <w:bCs/>
        </w:rPr>
        <w:t xml:space="preserve">апланированные </w:t>
      </w:r>
      <w:r w:rsidRPr="00AC3C4C">
        <w:rPr>
          <w:b/>
          <w:bCs/>
        </w:rPr>
        <w:t xml:space="preserve">проектом бюджета поступления НДФЛ на 2024 год и 2025 год не в полной мере увязаны с темпами роста заработной платы, учтенными в Прогнозе СЭР </w:t>
      </w:r>
      <w:proofErr w:type="spellStart"/>
      <w:r w:rsidRPr="00AC3C4C">
        <w:rPr>
          <w:b/>
          <w:bCs/>
        </w:rPr>
        <w:t>Каразейского</w:t>
      </w:r>
      <w:proofErr w:type="spellEnd"/>
      <w:r w:rsidRPr="00AC3C4C">
        <w:rPr>
          <w:b/>
          <w:bCs/>
        </w:rPr>
        <w:t xml:space="preserve"> МО. </w:t>
      </w:r>
      <w:r w:rsidR="00AC3C4C" w:rsidRPr="00AC3C4C">
        <w:rPr>
          <w:b/>
          <w:bCs/>
        </w:rPr>
        <w:t>Так, в Прогнозе на 2024 год по отношению к 2023 году темп роста зарплаты 107,3%,</w:t>
      </w:r>
      <w:r w:rsidR="00AC3C4C">
        <w:rPr>
          <w:b/>
          <w:bCs/>
        </w:rPr>
        <w:t xml:space="preserve"> на 2025 год по отношению к 2024 году </w:t>
      </w:r>
      <w:r w:rsidR="00D560E0">
        <w:rPr>
          <w:b/>
          <w:bCs/>
        </w:rPr>
        <w:t>– 107,</w:t>
      </w:r>
      <w:r w:rsidR="00F232BD">
        <w:rPr>
          <w:b/>
          <w:bCs/>
        </w:rPr>
        <w:t>1</w:t>
      </w:r>
      <w:r w:rsidR="00D560E0">
        <w:rPr>
          <w:b/>
          <w:bCs/>
        </w:rPr>
        <w:t>%, а в проекте бюджета поступления НДФЛ  запланированы с темпом роста на 2024г. – 114,5%, на 2025г. – 106%.</w:t>
      </w:r>
    </w:p>
    <w:bookmarkEnd w:id="2"/>
    <w:p w14:paraId="3DB7445A" w14:textId="11796A37" w:rsidR="00BE4B8E" w:rsidRDefault="00AC3C4C" w:rsidP="00D560E0">
      <w:pPr>
        <w:autoSpaceDE w:val="0"/>
        <w:autoSpaceDN w:val="0"/>
        <w:adjustRightInd w:val="0"/>
        <w:ind w:firstLine="567"/>
        <w:jc w:val="both"/>
      </w:pPr>
      <w:r w:rsidRPr="00AC3C4C">
        <w:rPr>
          <w:b/>
          <w:bCs/>
        </w:rPr>
        <w:t xml:space="preserve"> </w:t>
      </w:r>
      <w:r w:rsidR="00BE4B8E" w:rsidRPr="005A36A1">
        <w:t>Доля поступления НДФЛ в плановом периоде в общем объеме налоговых и неналоговых доходов составит 1</w:t>
      </w:r>
      <w:r w:rsidR="005A36A1" w:rsidRPr="005A36A1">
        <w:t>9</w:t>
      </w:r>
      <w:r w:rsidR="006E002E" w:rsidRPr="005A36A1">
        <w:t>-</w:t>
      </w:r>
      <w:r w:rsidR="005A36A1" w:rsidRPr="005A36A1">
        <w:t>20,4</w:t>
      </w:r>
      <w:r w:rsidR="00BE4B8E" w:rsidRPr="005A36A1">
        <w:t>%.</w:t>
      </w:r>
      <w:r w:rsidR="00BE4B8E">
        <w:t xml:space="preserve"> </w:t>
      </w:r>
    </w:p>
    <w:p w14:paraId="330A1FFD" w14:textId="77777777" w:rsidR="009F000D" w:rsidRDefault="009F000D" w:rsidP="00D80372">
      <w:pPr>
        <w:ind w:firstLine="567"/>
        <w:jc w:val="center"/>
        <w:rPr>
          <w:b/>
          <w:i/>
        </w:rPr>
      </w:pPr>
    </w:p>
    <w:p w14:paraId="5A301FB5" w14:textId="335A876D" w:rsidR="00D80372" w:rsidRPr="001C4765" w:rsidRDefault="00D80372" w:rsidP="00D80372">
      <w:pPr>
        <w:ind w:firstLine="567"/>
        <w:jc w:val="center"/>
        <w:rPr>
          <w:b/>
          <w:i/>
        </w:rPr>
      </w:pPr>
      <w:r>
        <w:rPr>
          <w:b/>
          <w:i/>
        </w:rPr>
        <w:t>Земельный налог</w:t>
      </w:r>
    </w:p>
    <w:p w14:paraId="033D510D" w14:textId="2245A3F7" w:rsidR="00D80372" w:rsidRDefault="00D80372" w:rsidP="0094292D">
      <w:pPr>
        <w:ind w:left="-170" w:firstLine="567"/>
        <w:jc w:val="both"/>
      </w:pPr>
      <w:r>
        <w:t>Посту</w:t>
      </w:r>
      <w:r w:rsidR="007557F5">
        <w:t xml:space="preserve">пление земельного налога на </w:t>
      </w:r>
      <w:r w:rsidR="000E76FA">
        <w:t>202</w:t>
      </w:r>
      <w:r w:rsidR="009F000D">
        <w:t>4</w:t>
      </w:r>
      <w:r>
        <w:t xml:space="preserve"> </w:t>
      </w:r>
      <w:r w:rsidR="009F000D">
        <w:t xml:space="preserve">год и плановый период 2025-2026гг. </w:t>
      </w:r>
      <w:r w:rsidR="00A47233" w:rsidRPr="00A47233">
        <w:t xml:space="preserve">прогнозируется в сумме </w:t>
      </w:r>
      <w:r w:rsidR="009F000D" w:rsidRPr="009F000D">
        <w:rPr>
          <w:b/>
          <w:bCs/>
        </w:rPr>
        <w:t xml:space="preserve">по 400 </w:t>
      </w:r>
      <w:r w:rsidR="00A47233" w:rsidRPr="009F000D">
        <w:rPr>
          <w:b/>
          <w:bCs/>
        </w:rPr>
        <w:t>тыс. руб.</w:t>
      </w:r>
      <w:r w:rsidR="009F000D">
        <w:t xml:space="preserve"> ежегодно., или в 2 раза больше ожидаем</w:t>
      </w:r>
      <w:r w:rsidR="0094292D">
        <w:t xml:space="preserve">ых поступлений 2023 года. </w:t>
      </w:r>
      <w:r w:rsidR="0094292D" w:rsidRPr="00433A30">
        <w:t>Согласно представленного реест</w:t>
      </w:r>
      <w:r w:rsidR="0094292D">
        <w:t xml:space="preserve">ра источников доходов бюджета </w:t>
      </w:r>
      <w:r w:rsidR="0094292D" w:rsidRPr="00433A30">
        <w:t>кассовое поступление земельного</w:t>
      </w:r>
      <w:r w:rsidR="0094292D">
        <w:t xml:space="preserve"> </w:t>
      </w:r>
      <w:r w:rsidR="0094292D" w:rsidRPr="00433A30">
        <w:t>налога текущего финансового года по состоянию на 1 ноября 20</w:t>
      </w:r>
      <w:r w:rsidR="0094292D">
        <w:t xml:space="preserve">23 </w:t>
      </w:r>
      <w:r w:rsidR="0094292D" w:rsidRPr="00433A30">
        <w:t>года составило</w:t>
      </w:r>
      <w:r w:rsidR="0094292D">
        <w:t xml:space="preserve"> 82,2</w:t>
      </w:r>
      <w:r w:rsidR="0094292D" w:rsidRPr="00433A30">
        <w:t xml:space="preserve"> тыс. руб., или </w:t>
      </w:r>
      <w:r w:rsidR="0094292D">
        <w:t>41,1</w:t>
      </w:r>
      <w:r w:rsidR="0094292D" w:rsidRPr="00433A30">
        <w:t>% от ожидаемого</w:t>
      </w:r>
      <w:r w:rsidR="0094292D">
        <w:t xml:space="preserve"> годового</w:t>
      </w:r>
      <w:r w:rsidR="0094292D" w:rsidRPr="00433A30">
        <w:t xml:space="preserve"> исполнения</w:t>
      </w:r>
      <w:r w:rsidR="0094292D">
        <w:t xml:space="preserve"> (200 тыс. руб.)</w:t>
      </w:r>
      <w:r w:rsidR="0094292D" w:rsidRPr="00433A30">
        <w:t>.</w:t>
      </w:r>
      <w:r w:rsidR="0094292D">
        <w:t xml:space="preserve"> Недоимка по данному налогу на 01.10.2023г. составляет 133,9 тыс. руб. (аналогичный период 2022г. – 195,2 тыс. руб.). </w:t>
      </w:r>
    </w:p>
    <w:p w14:paraId="64B006A2" w14:textId="0D79BFC5" w:rsidR="002C1356" w:rsidRDefault="002C1356" w:rsidP="0094292D">
      <w:pPr>
        <w:ind w:left="-170" w:firstLine="567"/>
        <w:jc w:val="both"/>
      </w:pPr>
      <w:r>
        <w:t>Доля поступления земельного налога в плановом периоде в общем объеме налоговых и неналоговых доходов составляет 9,5-9,1%.</w:t>
      </w:r>
    </w:p>
    <w:p w14:paraId="11930CC7" w14:textId="77777777" w:rsidR="0094292D" w:rsidRDefault="0094292D" w:rsidP="0094292D">
      <w:pPr>
        <w:ind w:left="-170" w:firstLine="567"/>
        <w:jc w:val="both"/>
      </w:pPr>
    </w:p>
    <w:p w14:paraId="5D24445F" w14:textId="77777777" w:rsidR="00D80372" w:rsidRDefault="00D80372" w:rsidP="00D80372">
      <w:pPr>
        <w:ind w:left="-170" w:firstLine="567"/>
        <w:jc w:val="center"/>
        <w:rPr>
          <w:b/>
          <w:i/>
        </w:rPr>
      </w:pPr>
      <w:r w:rsidRPr="002C4322">
        <w:rPr>
          <w:b/>
          <w:i/>
        </w:rPr>
        <w:t>Налог на имущество физических лиц</w:t>
      </w:r>
    </w:p>
    <w:p w14:paraId="063071F4" w14:textId="0F7C495B" w:rsidR="00FD0E42" w:rsidRDefault="0084418A" w:rsidP="002C1356">
      <w:pPr>
        <w:autoSpaceDE w:val="0"/>
        <w:autoSpaceDN w:val="0"/>
        <w:adjustRightInd w:val="0"/>
        <w:ind w:firstLine="567"/>
        <w:jc w:val="both"/>
      </w:pPr>
      <w:r>
        <w:t>Поступление</w:t>
      </w:r>
      <w:r w:rsidR="002C1356">
        <w:t xml:space="preserve"> доходов от налога на имущество физических лиц на</w:t>
      </w:r>
      <w:r>
        <w:t xml:space="preserve"> 2024 год </w:t>
      </w:r>
      <w:r w:rsidR="002C1356">
        <w:t xml:space="preserve">и на плановый период 2025-2026гг. </w:t>
      </w:r>
      <w:r>
        <w:t>прогнозируется в сумме</w:t>
      </w:r>
      <w:r w:rsidR="002C1356">
        <w:t xml:space="preserve"> </w:t>
      </w:r>
      <w:r w:rsidR="002C1356" w:rsidRPr="002C1356">
        <w:rPr>
          <w:b/>
          <w:bCs/>
        </w:rPr>
        <w:t>по 95</w:t>
      </w:r>
      <w:r>
        <w:rPr>
          <w:b/>
        </w:rPr>
        <w:t xml:space="preserve"> тыс. руб.</w:t>
      </w:r>
      <w:r w:rsidR="002C1356">
        <w:rPr>
          <w:b/>
        </w:rPr>
        <w:t xml:space="preserve"> </w:t>
      </w:r>
      <w:r w:rsidR="002C1356" w:rsidRPr="002C1356">
        <w:rPr>
          <w:bCs/>
        </w:rPr>
        <w:t>ежегодно</w:t>
      </w:r>
      <w:r w:rsidRPr="002C1356">
        <w:rPr>
          <w:bCs/>
        </w:rPr>
        <w:t>,</w:t>
      </w:r>
      <w:r>
        <w:rPr>
          <w:b/>
        </w:rPr>
        <w:t xml:space="preserve"> </w:t>
      </w:r>
      <w:r>
        <w:t>или 100% к ожидаемым поступлениям 202</w:t>
      </w:r>
      <w:r w:rsidR="002C1356">
        <w:t>3</w:t>
      </w:r>
      <w:r>
        <w:t xml:space="preserve"> года. </w:t>
      </w:r>
      <w:r w:rsidRPr="00433A30">
        <w:t>Согласно представленного реест</w:t>
      </w:r>
      <w:r>
        <w:t xml:space="preserve">ра источников доходов бюджета </w:t>
      </w:r>
      <w:r w:rsidRPr="00433A30">
        <w:t xml:space="preserve">кассовое поступление </w:t>
      </w:r>
      <w:r w:rsidR="002C1356">
        <w:t>налога на имущество</w:t>
      </w:r>
      <w:r w:rsidRPr="00433A30">
        <w:t xml:space="preserve"> текущего финансового года по состоянию на 1 ноября </w:t>
      </w:r>
      <w:r>
        <w:t>202</w:t>
      </w:r>
      <w:r w:rsidR="002C1356">
        <w:t>3</w:t>
      </w:r>
      <w:r>
        <w:t xml:space="preserve"> </w:t>
      </w:r>
      <w:r w:rsidRPr="00433A30">
        <w:t xml:space="preserve">года составило </w:t>
      </w:r>
      <w:r w:rsidR="002C1356">
        <w:t>85,5</w:t>
      </w:r>
      <w:r w:rsidRPr="00433A30">
        <w:t xml:space="preserve"> тыс. руб., или </w:t>
      </w:r>
      <w:r w:rsidR="002C1356">
        <w:t>90</w:t>
      </w:r>
      <w:r w:rsidRPr="00433A30">
        <w:t>% от ожидаемого</w:t>
      </w:r>
      <w:r w:rsidR="002C1356">
        <w:t xml:space="preserve"> годового</w:t>
      </w:r>
      <w:r w:rsidRPr="00433A30">
        <w:t xml:space="preserve"> исполнения</w:t>
      </w:r>
      <w:r w:rsidR="002C1356">
        <w:t xml:space="preserve"> </w:t>
      </w:r>
      <w:r w:rsidR="00482246">
        <w:t>(95 тыс. руб.).</w:t>
      </w:r>
      <w:r w:rsidR="00BB1052">
        <w:t xml:space="preserve"> По состоянию на 01.10.2023 года по налогу на имущество физических лиц имеется недоимка в сумме 21,9 тыс. руб.</w:t>
      </w:r>
    </w:p>
    <w:p w14:paraId="1CAC12D4" w14:textId="625998BE" w:rsidR="00D80372" w:rsidRDefault="002A663E" w:rsidP="00D80372">
      <w:pPr>
        <w:ind w:firstLine="567"/>
        <w:jc w:val="both"/>
      </w:pPr>
      <w:r>
        <w:t>Д</w:t>
      </w:r>
      <w:r w:rsidR="00D80372">
        <w:t xml:space="preserve">оля поступления налога на имущество физических лиц в общем объеме налоговых </w:t>
      </w:r>
      <w:r w:rsidR="004326F1">
        <w:t xml:space="preserve">и неналоговых </w:t>
      </w:r>
      <w:r w:rsidR="00D80372">
        <w:t xml:space="preserve">доходов составляет </w:t>
      </w:r>
      <w:r w:rsidR="002C1356">
        <w:t>2,2</w:t>
      </w:r>
      <w:r>
        <w:t>%</w:t>
      </w:r>
      <w:r w:rsidR="00D80372">
        <w:t>.</w:t>
      </w:r>
    </w:p>
    <w:p w14:paraId="36EDB2BA" w14:textId="77777777" w:rsidR="002C1356" w:rsidRDefault="002C1356" w:rsidP="00D80372">
      <w:pPr>
        <w:ind w:firstLine="567"/>
        <w:jc w:val="center"/>
        <w:rPr>
          <w:b/>
          <w:i/>
        </w:rPr>
      </w:pPr>
    </w:p>
    <w:p w14:paraId="0EA68B82" w14:textId="12BEA5DC"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Единый сельскохозяйственный налог</w:t>
      </w:r>
    </w:p>
    <w:p w14:paraId="195F5175" w14:textId="6D9B07C5" w:rsidR="00301085" w:rsidRDefault="00D80372" w:rsidP="00D80372">
      <w:pPr>
        <w:ind w:firstLine="567"/>
        <w:jc w:val="both"/>
      </w:pPr>
      <w:r w:rsidRPr="002C4322">
        <w:t>Прогноз поступлений н</w:t>
      </w:r>
      <w:r>
        <w:t xml:space="preserve">алога в бюджет поселения на </w:t>
      </w:r>
      <w:r w:rsidR="000E76FA">
        <w:t>202</w:t>
      </w:r>
      <w:r w:rsidR="002C1356">
        <w:t>4</w:t>
      </w:r>
      <w:r w:rsidR="00B97A11">
        <w:t xml:space="preserve"> год и на плановый период </w:t>
      </w:r>
      <w:r w:rsidR="000E76FA">
        <w:t>202</w:t>
      </w:r>
      <w:r w:rsidR="002C1356">
        <w:t>5</w:t>
      </w:r>
      <w:r>
        <w:t>-</w:t>
      </w:r>
      <w:r w:rsidR="000E76FA">
        <w:t>202</w:t>
      </w:r>
      <w:r w:rsidR="002C1356">
        <w:t>6</w:t>
      </w:r>
      <w:r>
        <w:t xml:space="preserve">гг. составляет </w:t>
      </w:r>
      <w:r w:rsidRPr="00727944">
        <w:rPr>
          <w:b/>
        </w:rPr>
        <w:t xml:space="preserve">по </w:t>
      </w:r>
      <w:r w:rsidR="004326F1">
        <w:rPr>
          <w:b/>
        </w:rPr>
        <w:t>1</w:t>
      </w:r>
      <w:r w:rsidR="002C1356">
        <w:rPr>
          <w:b/>
        </w:rPr>
        <w:t>350</w:t>
      </w:r>
      <w:r w:rsidR="00B97A11">
        <w:rPr>
          <w:b/>
        </w:rPr>
        <w:t xml:space="preserve"> </w:t>
      </w:r>
      <w:r w:rsidRPr="00727944">
        <w:rPr>
          <w:b/>
        </w:rPr>
        <w:t>тыс. руб</w:t>
      </w:r>
      <w:r>
        <w:t xml:space="preserve">. ежегодно, </w:t>
      </w:r>
      <w:r w:rsidR="004326F1">
        <w:t>или на уровне</w:t>
      </w:r>
      <w:r w:rsidR="00B97A11">
        <w:t xml:space="preserve"> ожидаемы</w:t>
      </w:r>
      <w:r w:rsidR="004326F1">
        <w:t>х</w:t>
      </w:r>
      <w:r w:rsidR="00B97A11">
        <w:t xml:space="preserve"> </w:t>
      </w:r>
      <w:r w:rsidR="00301085">
        <w:t>исполнения текущего финансового года.</w:t>
      </w:r>
      <w:r>
        <w:t xml:space="preserve"> </w:t>
      </w:r>
      <w:r w:rsidR="00135447">
        <w:t xml:space="preserve">Согласно представленного реестра источников доходов бюджета кассовое поступление </w:t>
      </w:r>
      <w:r w:rsidR="00301085">
        <w:t>ЕСХН</w:t>
      </w:r>
      <w:r w:rsidR="00135447">
        <w:t xml:space="preserve"> по состоянию на 1 ноября 2023 года составило 1351,6 тыс. руб., или 100,1% от ожидаемого годового исполнения (1350 тыс. руб.).</w:t>
      </w:r>
      <w:r w:rsidR="00301085">
        <w:t xml:space="preserve"> </w:t>
      </w:r>
    </w:p>
    <w:p w14:paraId="03B6DCE5" w14:textId="77797D43" w:rsidR="00301085" w:rsidRDefault="00D80372" w:rsidP="00177FAC">
      <w:pPr>
        <w:ind w:firstLine="567"/>
        <w:jc w:val="both"/>
      </w:pPr>
      <w:r>
        <w:t xml:space="preserve">Удельный вес единого сельскохозяйственного налога в общем объеме налоговых </w:t>
      </w:r>
      <w:r w:rsidR="004326F1">
        <w:t xml:space="preserve">и неналоговых </w:t>
      </w:r>
      <w:r>
        <w:t xml:space="preserve">доходов </w:t>
      </w:r>
      <w:r w:rsidR="00301085">
        <w:t>в 2024-202</w:t>
      </w:r>
      <w:r w:rsidR="00BB7186">
        <w:t>6</w:t>
      </w:r>
      <w:r w:rsidR="00301085">
        <w:t xml:space="preserve"> годах составляет 32-30,6%.</w:t>
      </w:r>
    </w:p>
    <w:p w14:paraId="79732CA2" w14:textId="77777777" w:rsidR="00301085" w:rsidRDefault="00301085" w:rsidP="00D80372">
      <w:pPr>
        <w:ind w:firstLine="567"/>
        <w:jc w:val="center"/>
        <w:rPr>
          <w:b/>
          <w:i/>
        </w:rPr>
      </w:pPr>
    </w:p>
    <w:p w14:paraId="5ACEA819" w14:textId="683CA42C"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Государственная пошлина</w:t>
      </w:r>
    </w:p>
    <w:p w14:paraId="4513B740" w14:textId="28ACC5A7" w:rsidR="00D80372" w:rsidRDefault="00D80372" w:rsidP="00D80372">
      <w:pPr>
        <w:ind w:firstLine="567"/>
        <w:jc w:val="both"/>
        <w:rPr>
          <w:b/>
        </w:rPr>
      </w:pPr>
      <w:r w:rsidRPr="002C4322">
        <w:t xml:space="preserve">Данный вид дохода зачисляется в бюджет сельского поселения в результате нотариальной деятельности </w:t>
      </w:r>
      <w:r>
        <w:t>органов местного самоуправления и относится к слабо прогнозируемым, так как зависит от обращений граждан.</w:t>
      </w:r>
      <w:r w:rsidRPr="002C4322">
        <w:t xml:space="preserve"> Ожидаемая оценка за </w:t>
      </w:r>
      <w:r>
        <w:t>20</w:t>
      </w:r>
      <w:r w:rsidR="004C405E">
        <w:t>23</w:t>
      </w:r>
      <w:r w:rsidRPr="002C4322">
        <w:t xml:space="preserve"> год </w:t>
      </w:r>
      <w:r w:rsidR="00532027">
        <w:t>–</w:t>
      </w:r>
      <w:r w:rsidRPr="002C4322">
        <w:t xml:space="preserve"> </w:t>
      </w:r>
      <w:r w:rsidR="004C405E">
        <w:t>9</w:t>
      </w:r>
      <w:r w:rsidR="00532027">
        <w:t xml:space="preserve"> </w:t>
      </w:r>
      <w:r w:rsidRPr="002C4322">
        <w:t xml:space="preserve">тыс. руб. Фактическое исполнение за 10 месяцев </w:t>
      </w:r>
      <w:r w:rsidR="00532027">
        <w:t>202</w:t>
      </w:r>
      <w:r w:rsidR="004C405E">
        <w:t>3</w:t>
      </w:r>
      <w:r w:rsidRPr="002C4322">
        <w:t xml:space="preserve"> года</w:t>
      </w:r>
      <w:r w:rsidR="004326F1">
        <w:t xml:space="preserve"> </w:t>
      </w:r>
      <w:r w:rsidR="004C405E">
        <w:t>–</w:t>
      </w:r>
      <w:r w:rsidRPr="002C4322">
        <w:t xml:space="preserve"> </w:t>
      </w:r>
      <w:r w:rsidR="004C405E">
        <w:t>9,3</w:t>
      </w:r>
      <w:r>
        <w:t xml:space="preserve"> тыс. </w:t>
      </w:r>
      <w:r w:rsidR="00532027">
        <w:t>руб.</w:t>
      </w:r>
      <w:r w:rsidR="004C405E">
        <w:t xml:space="preserve">, или 103,3% от ожидаемого годового исполнения. </w:t>
      </w:r>
      <w:r w:rsidR="00532027">
        <w:t xml:space="preserve"> Прогноз поступлений на </w:t>
      </w:r>
      <w:r w:rsidR="000E76FA">
        <w:t>202</w:t>
      </w:r>
      <w:r w:rsidR="00F320DE">
        <w:t>4</w:t>
      </w:r>
      <w:r>
        <w:t xml:space="preserve"> и плановый период </w:t>
      </w:r>
      <w:r w:rsidR="000E76FA">
        <w:t>202</w:t>
      </w:r>
      <w:r w:rsidR="00F320DE">
        <w:t>5</w:t>
      </w:r>
      <w:r>
        <w:t>-</w:t>
      </w:r>
      <w:r w:rsidR="000E76FA">
        <w:t>202</w:t>
      </w:r>
      <w:r w:rsidR="00F320DE">
        <w:t>6</w:t>
      </w:r>
      <w:r>
        <w:t xml:space="preserve">гг. по </w:t>
      </w:r>
      <w:r w:rsidR="00F320DE">
        <w:t>9</w:t>
      </w:r>
      <w:r>
        <w:t>,3 тыс. руб. ежегодно. Удельный вес поступлений госпошлины в объеме налоговых</w:t>
      </w:r>
      <w:r w:rsidR="004326F1">
        <w:t xml:space="preserve"> и неналоговых</w:t>
      </w:r>
      <w:r>
        <w:t xml:space="preserve"> доходов за анализируемые периоды составляет 0,</w:t>
      </w:r>
      <w:r w:rsidR="00F320DE">
        <w:t>2</w:t>
      </w:r>
      <w:r>
        <w:t>%</w:t>
      </w:r>
      <w:r w:rsidR="00F320DE">
        <w:t xml:space="preserve"> ежегодно.</w:t>
      </w:r>
      <w:r w:rsidRPr="00EE1C93">
        <w:rPr>
          <w:b/>
        </w:rPr>
        <w:t xml:space="preserve">    </w:t>
      </w:r>
    </w:p>
    <w:p w14:paraId="530DE83E" w14:textId="77777777" w:rsidR="00F320DE" w:rsidRDefault="00F320DE" w:rsidP="00D80372">
      <w:pPr>
        <w:ind w:firstLine="567"/>
        <w:jc w:val="center"/>
        <w:rPr>
          <w:b/>
          <w:u w:val="single"/>
        </w:rPr>
      </w:pPr>
    </w:p>
    <w:p w14:paraId="4D3842E3" w14:textId="77777777" w:rsidR="00F320DE" w:rsidRDefault="00F320DE" w:rsidP="00D80372">
      <w:pPr>
        <w:ind w:firstLine="567"/>
        <w:jc w:val="center"/>
        <w:rPr>
          <w:b/>
          <w:u w:val="single"/>
        </w:rPr>
      </w:pPr>
    </w:p>
    <w:p w14:paraId="2069E8DF" w14:textId="57936937" w:rsidR="00D80372" w:rsidRPr="00B910AB" w:rsidRDefault="00D80372" w:rsidP="00D80372">
      <w:pPr>
        <w:ind w:firstLine="567"/>
        <w:jc w:val="center"/>
        <w:rPr>
          <w:b/>
          <w:u w:val="single"/>
        </w:rPr>
      </w:pPr>
      <w:r w:rsidRPr="00B910AB">
        <w:rPr>
          <w:b/>
          <w:u w:val="single"/>
        </w:rPr>
        <w:lastRenderedPageBreak/>
        <w:t>Ненал</w:t>
      </w:r>
      <w:r>
        <w:rPr>
          <w:b/>
          <w:u w:val="single"/>
        </w:rPr>
        <w:t>оговые доходы бюджета поселения</w:t>
      </w:r>
    </w:p>
    <w:p w14:paraId="109E74DC" w14:textId="2C013CB8" w:rsidR="00920830" w:rsidRDefault="00920830" w:rsidP="00920830">
      <w:pPr>
        <w:ind w:firstLine="567"/>
        <w:jc w:val="both"/>
      </w:pPr>
      <w:r w:rsidRPr="006065F4">
        <w:t xml:space="preserve">При ожидаемом поступлении в </w:t>
      </w:r>
      <w:r>
        <w:t>2023</w:t>
      </w:r>
      <w:r w:rsidRPr="006065F4">
        <w:t xml:space="preserve"> году </w:t>
      </w:r>
      <w:r>
        <w:t xml:space="preserve">неналоговых доходов </w:t>
      </w:r>
      <w:r w:rsidRPr="006065F4">
        <w:t xml:space="preserve">в сумме </w:t>
      </w:r>
      <w:r>
        <w:t>94,9</w:t>
      </w:r>
      <w:r w:rsidRPr="006065F4">
        <w:t xml:space="preserve"> тыс. руб. удельный вес неналоговых доходов в общей сумме налоговых и неналоговых</w:t>
      </w:r>
      <w:r w:rsidRPr="00831665">
        <w:t xml:space="preserve"> доходов составит </w:t>
      </w:r>
      <w:r>
        <w:t>2,6</w:t>
      </w:r>
      <w:r w:rsidRPr="00831665">
        <w:t xml:space="preserve">% и </w:t>
      </w:r>
      <w:r>
        <w:t>0,6</w:t>
      </w:r>
      <w:r w:rsidRPr="00831665">
        <w:t xml:space="preserve">% в общей сумме доходов поселения. На </w:t>
      </w:r>
      <w:r>
        <w:t>2024</w:t>
      </w:r>
      <w:r w:rsidRPr="00831665">
        <w:t xml:space="preserve"> год </w:t>
      </w:r>
      <w:r>
        <w:t xml:space="preserve">и плановый период 2025-2026 годы </w:t>
      </w:r>
      <w:r w:rsidRPr="00831665">
        <w:t>неналоговые доходы прогнозируются в сумме</w:t>
      </w:r>
      <w:r>
        <w:t xml:space="preserve"> по 90 </w:t>
      </w:r>
      <w:r w:rsidRPr="00831665">
        <w:t>тыс. руб.</w:t>
      </w:r>
      <w:r>
        <w:t xml:space="preserve"> ежегодно, или 94,8% к ожидаемым поступлениям 2023 года. Снижение неналоговых доходов в 2024-2026 годах объясняется отсутствием прогнозируемых поступлений доходов от компенсации затрат бюджета.</w:t>
      </w:r>
    </w:p>
    <w:p w14:paraId="64ADE28C" w14:textId="77777777" w:rsidR="00CB7CF2" w:rsidRDefault="00CB7CF2" w:rsidP="00CE4603">
      <w:pPr>
        <w:ind w:firstLine="567"/>
        <w:jc w:val="center"/>
        <w:rPr>
          <w:b/>
          <w:i/>
        </w:rPr>
      </w:pPr>
    </w:p>
    <w:p w14:paraId="0A5E19C3" w14:textId="2FB8EECC" w:rsidR="00CE4603" w:rsidRDefault="00CE4603" w:rsidP="00CE4603">
      <w:pPr>
        <w:ind w:firstLine="567"/>
        <w:jc w:val="center"/>
        <w:rPr>
          <w:b/>
          <w:i/>
        </w:rPr>
      </w:pPr>
      <w:r>
        <w:rPr>
          <w:b/>
          <w:i/>
        </w:rPr>
        <w:t xml:space="preserve">Доходы от использования имущества, находящегося </w:t>
      </w:r>
    </w:p>
    <w:p w14:paraId="570F0476" w14:textId="77777777" w:rsidR="00CE4603" w:rsidRDefault="00CE4603" w:rsidP="00CE4603">
      <w:pPr>
        <w:ind w:firstLine="567"/>
        <w:jc w:val="center"/>
        <w:rPr>
          <w:b/>
          <w:i/>
        </w:rPr>
      </w:pPr>
      <w:r>
        <w:rPr>
          <w:b/>
          <w:i/>
        </w:rPr>
        <w:t>в муниципальной собственности.</w:t>
      </w:r>
    </w:p>
    <w:p w14:paraId="762B0CAA" w14:textId="3707A947" w:rsidR="00CE4603" w:rsidRDefault="00CE4603" w:rsidP="00CE4603">
      <w:pPr>
        <w:ind w:firstLine="567"/>
        <w:jc w:val="both"/>
      </w:pPr>
      <w:r w:rsidRPr="0041551D">
        <w:t xml:space="preserve">Доходы от использования имущества прогнозируются на </w:t>
      </w:r>
      <w:r>
        <w:t>202</w:t>
      </w:r>
      <w:r w:rsidR="00CB7CF2">
        <w:t>4</w:t>
      </w:r>
      <w:r w:rsidRPr="0041551D">
        <w:t xml:space="preserve"> год </w:t>
      </w:r>
      <w:r>
        <w:t xml:space="preserve">и каждый год планового периода </w:t>
      </w:r>
      <w:r w:rsidRPr="0041551D">
        <w:t>в</w:t>
      </w:r>
      <w:r>
        <w:t xml:space="preserve"> размере </w:t>
      </w:r>
      <w:r w:rsidR="002E2C97">
        <w:t xml:space="preserve">по </w:t>
      </w:r>
      <w:r>
        <w:rPr>
          <w:b/>
        </w:rPr>
        <w:t xml:space="preserve">48 </w:t>
      </w:r>
      <w:r w:rsidRPr="001611B6">
        <w:rPr>
          <w:b/>
        </w:rPr>
        <w:t>тыс. руб.,</w:t>
      </w:r>
      <w:r w:rsidRPr="0041551D">
        <w:t xml:space="preserve"> </w:t>
      </w:r>
      <w:r>
        <w:t>что составит</w:t>
      </w:r>
      <w:r w:rsidRPr="0041551D">
        <w:t xml:space="preserve"> </w:t>
      </w:r>
      <w:r w:rsidR="00CB7CF2">
        <w:t>100</w:t>
      </w:r>
      <w:r w:rsidRPr="0041551D">
        <w:t xml:space="preserve">% к оценке </w:t>
      </w:r>
      <w:r>
        <w:t>202</w:t>
      </w:r>
      <w:r w:rsidR="00CB7CF2">
        <w:t>3</w:t>
      </w:r>
      <w:r w:rsidRPr="0041551D">
        <w:t xml:space="preserve"> года</w:t>
      </w:r>
      <w:r w:rsidR="00CB7CF2">
        <w:t>. К</w:t>
      </w:r>
      <w:r>
        <w:t xml:space="preserve">ак следует из пояснительной записки, данный показатель сформирован на основании договора аренды помещения под магазин с ИП Дмитриева Л. Ф. </w:t>
      </w:r>
      <w:r w:rsidR="002E2C97">
        <w:t xml:space="preserve">Стоимость договора, в свою очередь, рассчитана на основании экспертного отчета об оценке объекта. </w:t>
      </w:r>
      <w:r>
        <w:t>Согласно представленного реестра источников доходов бюджета кассовое поступление доходов от использования имущества текущего финансового года по состоянию на 1 ноября 202</w:t>
      </w:r>
      <w:r w:rsidR="00CB7CF2">
        <w:t>3</w:t>
      </w:r>
      <w:r>
        <w:t xml:space="preserve"> года </w:t>
      </w:r>
      <w:r w:rsidRPr="002C4322">
        <w:t>состав</w:t>
      </w:r>
      <w:r>
        <w:t>ило</w:t>
      </w:r>
      <w:r w:rsidRPr="002C4322">
        <w:t xml:space="preserve"> </w:t>
      </w:r>
      <w:r w:rsidR="00CB7CF2">
        <w:t>40</w:t>
      </w:r>
      <w:r w:rsidRPr="002C4322">
        <w:t xml:space="preserve"> тыс. руб.</w:t>
      </w:r>
      <w:r>
        <w:t xml:space="preserve"> Поступление доходов от использования имущества планируется от аренды помещения в здании учреждения культуры.</w:t>
      </w:r>
    </w:p>
    <w:p w14:paraId="3BF5EB2D" w14:textId="77777777" w:rsidR="00CB7CF2" w:rsidRDefault="00CB7CF2" w:rsidP="00CE4603">
      <w:pPr>
        <w:ind w:firstLine="567"/>
        <w:jc w:val="both"/>
      </w:pPr>
    </w:p>
    <w:p w14:paraId="55D45754" w14:textId="77777777"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Доходы от оказания платных услуг</w:t>
      </w:r>
    </w:p>
    <w:p w14:paraId="4E27219C" w14:textId="4333513C" w:rsidR="00095638" w:rsidRPr="00C51DD9" w:rsidRDefault="00D80372" w:rsidP="00095638">
      <w:pPr>
        <w:ind w:firstLine="567"/>
        <w:jc w:val="both"/>
        <w:rPr>
          <w:b/>
        </w:rPr>
      </w:pPr>
      <w:r>
        <w:t>В 202</w:t>
      </w:r>
      <w:r w:rsidR="00CB7CF2">
        <w:t>3</w:t>
      </w:r>
      <w:r>
        <w:t xml:space="preserve"> году от платных услуг ожидается поступление в размере </w:t>
      </w:r>
      <w:r w:rsidR="002E2C97">
        <w:t>42</w:t>
      </w:r>
      <w:r>
        <w:t xml:space="preserve"> тыс. руб. Согласно представленного реестра источников доходов бюджета кассовое поступление доходов от оказания платных услуг текущего финансового го</w:t>
      </w:r>
      <w:r w:rsidR="0055749C">
        <w:t>да по состоянию на 1 ноября 202</w:t>
      </w:r>
      <w:r w:rsidR="00CB7CF2">
        <w:t>3</w:t>
      </w:r>
      <w:r>
        <w:t xml:space="preserve"> года </w:t>
      </w:r>
      <w:r w:rsidRPr="002C4322">
        <w:t>состав</w:t>
      </w:r>
      <w:r>
        <w:t>ило</w:t>
      </w:r>
      <w:r w:rsidRPr="002C4322">
        <w:t xml:space="preserve"> </w:t>
      </w:r>
      <w:r w:rsidR="00CB7CF2">
        <w:t>24,5</w:t>
      </w:r>
      <w:r w:rsidRPr="002C4322">
        <w:t xml:space="preserve"> тыс. руб.</w:t>
      </w:r>
      <w:r>
        <w:t xml:space="preserve">, или </w:t>
      </w:r>
      <w:r w:rsidR="00E20F5D">
        <w:t>58,3</w:t>
      </w:r>
      <w:r>
        <w:t>% от ожидаемого годового исполнения.</w:t>
      </w:r>
      <w:r w:rsidRPr="002C4322">
        <w:t xml:space="preserve"> </w:t>
      </w:r>
      <w:r w:rsidR="0055749C">
        <w:t xml:space="preserve">На </w:t>
      </w:r>
      <w:r w:rsidR="000E76FA">
        <w:t>202</w:t>
      </w:r>
      <w:r w:rsidR="00E20F5D">
        <w:t>4</w:t>
      </w:r>
      <w:r>
        <w:t xml:space="preserve"> год</w:t>
      </w:r>
      <w:r w:rsidR="002E2C97">
        <w:t xml:space="preserve"> и каждый год планового периода</w:t>
      </w:r>
      <w:r>
        <w:t xml:space="preserve"> доходы запланированы </w:t>
      </w:r>
      <w:r w:rsidR="002E2C97">
        <w:t>по</w:t>
      </w:r>
      <w:r w:rsidR="00095638">
        <w:t xml:space="preserve"> </w:t>
      </w:r>
      <w:r w:rsidR="00095638">
        <w:rPr>
          <w:b/>
        </w:rPr>
        <w:t>42 тыс. руб.</w:t>
      </w:r>
      <w:r w:rsidR="002E2C97">
        <w:rPr>
          <w:b/>
        </w:rPr>
        <w:t xml:space="preserve"> ежегодно</w:t>
      </w:r>
      <w:r w:rsidR="00095638">
        <w:rPr>
          <w:b/>
        </w:rPr>
        <w:t xml:space="preserve">, </w:t>
      </w:r>
      <w:r w:rsidR="00095638">
        <w:t xml:space="preserve">или </w:t>
      </w:r>
      <w:r w:rsidR="002E2C97">
        <w:t>на уровне</w:t>
      </w:r>
      <w:r w:rsidR="00095638">
        <w:t xml:space="preserve"> оценк</w:t>
      </w:r>
      <w:r w:rsidR="002E2C97">
        <w:t>и</w:t>
      </w:r>
      <w:r w:rsidR="00095638">
        <w:t xml:space="preserve"> 202</w:t>
      </w:r>
      <w:r w:rsidR="00E20F5D">
        <w:t>3</w:t>
      </w:r>
      <w:r w:rsidR="00095638">
        <w:t xml:space="preserve"> года. Доходы прогнозируются от оказания платных услуг учреждением культуры. </w:t>
      </w:r>
      <w:r w:rsidR="00095638" w:rsidRPr="00C51DD9">
        <w:rPr>
          <w:b/>
        </w:rPr>
        <w:t>Обоснования в пояснительной</w:t>
      </w:r>
      <w:r w:rsidR="00095638">
        <w:rPr>
          <w:b/>
        </w:rPr>
        <w:t xml:space="preserve"> записке к проекту </w:t>
      </w:r>
      <w:r w:rsidR="00DA1480">
        <w:rPr>
          <w:b/>
        </w:rPr>
        <w:t xml:space="preserve">бюджета </w:t>
      </w:r>
      <w:r w:rsidR="00DA1480" w:rsidRPr="00C51DD9">
        <w:rPr>
          <w:b/>
        </w:rPr>
        <w:t>отсутствуют</w:t>
      </w:r>
      <w:r w:rsidR="00095638" w:rsidRPr="00C51DD9">
        <w:rPr>
          <w:b/>
        </w:rPr>
        <w:t>.</w:t>
      </w:r>
    </w:p>
    <w:p w14:paraId="4E412D52" w14:textId="654AC6B8" w:rsidR="00D80372" w:rsidRPr="002C4322" w:rsidRDefault="00D80372" w:rsidP="00D80372">
      <w:pPr>
        <w:ind w:firstLine="567"/>
        <w:jc w:val="both"/>
      </w:pPr>
      <w:r>
        <w:t xml:space="preserve"> </w:t>
      </w:r>
      <w:r w:rsidRPr="002C4322">
        <w:t xml:space="preserve">Удельный вес доходов от </w:t>
      </w:r>
      <w:r>
        <w:t>оказания платных услуг</w:t>
      </w:r>
      <w:r w:rsidRPr="002C4322">
        <w:t xml:space="preserve"> в общем объеме </w:t>
      </w:r>
      <w:r>
        <w:t>налоговых и неналоговых</w:t>
      </w:r>
      <w:r w:rsidRPr="002C4322">
        <w:t xml:space="preserve"> доходов на </w:t>
      </w:r>
      <w:r w:rsidR="000E76FA">
        <w:t>202</w:t>
      </w:r>
      <w:r w:rsidR="00E20F5D">
        <w:t>4</w:t>
      </w:r>
      <w:r w:rsidR="00DA1480">
        <w:t>-</w:t>
      </w:r>
      <w:r w:rsidR="000E76FA">
        <w:t>202</w:t>
      </w:r>
      <w:r w:rsidR="00E20F5D">
        <w:t>6</w:t>
      </w:r>
      <w:r>
        <w:t>гг.</w:t>
      </w:r>
      <w:r w:rsidRPr="002C4322">
        <w:t xml:space="preserve"> составляет </w:t>
      </w:r>
      <w:r w:rsidR="00E20F5D">
        <w:t>1</w:t>
      </w:r>
      <w:r>
        <w:t>%.</w:t>
      </w:r>
    </w:p>
    <w:p w14:paraId="75B41A9D" w14:textId="77777777" w:rsidR="00E20F5D" w:rsidRDefault="00E20F5D" w:rsidP="00D80372">
      <w:pPr>
        <w:ind w:firstLine="567"/>
        <w:jc w:val="center"/>
        <w:rPr>
          <w:b/>
          <w:i/>
        </w:rPr>
      </w:pPr>
    </w:p>
    <w:p w14:paraId="2557AEE8" w14:textId="1742B8B1" w:rsidR="00D80372" w:rsidRDefault="00D80372" w:rsidP="00D80372">
      <w:pPr>
        <w:ind w:firstLine="567"/>
        <w:jc w:val="center"/>
        <w:rPr>
          <w:b/>
          <w:i/>
        </w:rPr>
      </w:pPr>
      <w:r w:rsidRPr="00E43631">
        <w:rPr>
          <w:b/>
          <w:i/>
        </w:rPr>
        <w:t xml:space="preserve">Доходы от </w:t>
      </w:r>
      <w:r>
        <w:rPr>
          <w:b/>
          <w:i/>
        </w:rPr>
        <w:t>компенсации затрат бюджета поселения</w:t>
      </w:r>
    </w:p>
    <w:p w14:paraId="5D9E438B" w14:textId="0405E9E7" w:rsidR="008121A0" w:rsidRDefault="00A1006F" w:rsidP="00D80372">
      <w:pPr>
        <w:ind w:firstLine="567"/>
        <w:jc w:val="both"/>
      </w:pPr>
      <w:r>
        <w:t xml:space="preserve">Доходы </w:t>
      </w:r>
      <w:r w:rsidR="00E20F5D">
        <w:t xml:space="preserve">от </w:t>
      </w:r>
      <w:r>
        <w:t xml:space="preserve">компенсации затрат бюджета   поселения в 2023 году ожидаются в сумме 4,9 тыс. руб. Согласно представленного реестра источников доходов бюджета кассовое поступление доходов от компенсации </w:t>
      </w:r>
      <w:r w:rsidR="009B5A69">
        <w:t>затрат бюджет</w:t>
      </w:r>
      <w:r w:rsidR="008121A0">
        <w:t xml:space="preserve">а </w:t>
      </w:r>
      <w:r w:rsidR="009B5A69">
        <w:t xml:space="preserve"> поселен</w:t>
      </w:r>
      <w:r w:rsidR="008121A0">
        <w:t>ия</w:t>
      </w:r>
      <w:r w:rsidR="009B5A69">
        <w:t xml:space="preserve"> текущего финансового года по состоянию на 1 ноября 2023 года составило 0 руб.</w:t>
      </w:r>
    </w:p>
    <w:p w14:paraId="7134610D" w14:textId="152F14D0" w:rsidR="00E20F5D" w:rsidRDefault="009B5A69" w:rsidP="00D80372">
      <w:pPr>
        <w:ind w:firstLine="567"/>
        <w:jc w:val="both"/>
        <w:rPr>
          <w:b/>
          <w:bCs/>
        </w:rPr>
      </w:pPr>
      <w:r>
        <w:t xml:space="preserve"> На 2024 год и </w:t>
      </w:r>
      <w:r w:rsidR="00FD6E53">
        <w:t xml:space="preserve">на плановый период 2025-2026гг. поступление доходов </w:t>
      </w:r>
      <w:r w:rsidR="008121A0">
        <w:t>от компенсации затрат бюджета поселения не планируется.</w:t>
      </w:r>
      <w:r w:rsidR="00602CC9">
        <w:t xml:space="preserve"> </w:t>
      </w:r>
      <w:r w:rsidR="00602CC9">
        <w:rPr>
          <w:b/>
          <w:bCs/>
        </w:rPr>
        <w:t>Пояснительная записка к проекту бюджета не содержит пояснения отсутствия данного источника дохода.</w:t>
      </w:r>
    </w:p>
    <w:p w14:paraId="4A3E1986" w14:textId="1DCCD31A" w:rsidR="00602CC9" w:rsidRDefault="00687696" w:rsidP="00D8037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55CB4457" w14:textId="17546B57" w:rsidR="00687696" w:rsidRDefault="008D2F09" w:rsidP="00687696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Штрафы, санкции, возмещение ущерба</w:t>
      </w:r>
    </w:p>
    <w:p w14:paraId="05416814" w14:textId="03F6CB81" w:rsidR="00687696" w:rsidRDefault="00687696" w:rsidP="00687696">
      <w:pPr>
        <w:ind w:firstLine="567"/>
        <w:jc w:val="both"/>
        <w:rPr>
          <w:b/>
          <w:bCs/>
        </w:rPr>
      </w:pPr>
      <w:r>
        <w:t xml:space="preserve">Согласно представленного реестра источников доходов бюджете </w:t>
      </w:r>
      <w:r>
        <w:rPr>
          <w:b/>
          <w:bCs/>
        </w:rPr>
        <w:t xml:space="preserve">кассовое поступление доходов от </w:t>
      </w:r>
      <w:r w:rsidR="008D2F09">
        <w:rPr>
          <w:b/>
          <w:bCs/>
        </w:rPr>
        <w:t>штрафов</w:t>
      </w:r>
      <w:r>
        <w:rPr>
          <w:b/>
          <w:bCs/>
        </w:rPr>
        <w:t xml:space="preserve"> по состоянию на 1 ноября 2023 года составило 13,4 тыс. руб., однако в оценке исполнения бюджете на 2023 год </w:t>
      </w:r>
      <w:r w:rsidR="005379C4">
        <w:rPr>
          <w:b/>
          <w:bCs/>
        </w:rPr>
        <w:t xml:space="preserve">информация по данному источнику отсутствует. </w:t>
      </w:r>
      <w:r w:rsidR="005379C4" w:rsidRPr="005379C4">
        <w:t xml:space="preserve">На </w:t>
      </w:r>
      <w:r w:rsidR="005379C4">
        <w:t>2024 год и на плановый период 2025 и 2026 годов поступление доходов</w:t>
      </w:r>
      <w:r w:rsidR="008D2F09">
        <w:t xml:space="preserve"> от штрафов</w:t>
      </w:r>
      <w:r w:rsidR="005C569F">
        <w:tab/>
      </w:r>
      <w:r w:rsidR="005C569F">
        <w:rPr>
          <w:b/>
          <w:bCs/>
        </w:rPr>
        <w:t>не планируется.</w:t>
      </w:r>
    </w:p>
    <w:p w14:paraId="2DE9C817" w14:textId="36366E17" w:rsidR="005C569F" w:rsidRDefault="005C569F" w:rsidP="00687696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12A3A66" w14:textId="2A29FD4B" w:rsidR="005C569F" w:rsidRDefault="005C569F" w:rsidP="005C569F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Прочие неналоговые доходы</w:t>
      </w:r>
    </w:p>
    <w:p w14:paraId="27E6FA18" w14:textId="49A49692" w:rsidR="005C569F" w:rsidRPr="00BC7AE8" w:rsidRDefault="005C569F" w:rsidP="005C569F">
      <w:pPr>
        <w:ind w:firstLine="567"/>
        <w:jc w:val="both"/>
      </w:pPr>
      <w:r>
        <w:t xml:space="preserve">Согласно представленного реестра источников доходов бюджете </w:t>
      </w:r>
      <w:r>
        <w:rPr>
          <w:b/>
          <w:bCs/>
        </w:rPr>
        <w:t xml:space="preserve">кассовое поступление доходов от прочих неналоговых доходов (невыясненные поступления, зачисляемые в бюджеты сельских поселений) по состоянию на 1 ноября 2023 года составило 50 тыс. руб., однако в оценке исполнения бюджете на 2023 год и в </w:t>
      </w:r>
      <w:r>
        <w:rPr>
          <w:b/>
          <w:bCs/>
        </w:rPr>
        <w:lastRenderedPageBreak/>
        <w:t xml:space="preserve">пояснительной записке к проекту бюджета информация по данному источнику отсутствует. </w:t>
      </w:r>
      <w:r w:rsidR="00BC7AE8" w:rsidRPr="00BC7AE8">
        <w:t>С</w:t>
      </w:r>
      <w:r w:rsidR="00BC7AE8">
        <w:t xml:space="preserve">редства поступили от СПК «Колхоз Труд» в рамках инициативных платежей по проекту «Организация МТО муниципальных учреждений соц. сферы МКУК КРЦ «Колос» </w:t>
      </w:r>
      <w:proofErr w:type="spellStart"/>
      <w:r w:rsidR="00BC7AE8">
        <w:t>Каразейского</w:t>
      </w:r>
      <w:proofErr w:type="spellEnd"/>
      <w:r w:rsidR="00BC7AE8">
        <w:t xml:space="preserve"> МО (приобретение звукового оборудования).</w:t>
      </w:r>
    </w:p>
    <w:p w14:paraId="2203E99D" w14:textId="77777777" w:rsidR="00602CC9" w:rsidRPr="00602CC9" w:rsidRDefault="00602CC9" w:rsidP="00687696">
      <w:pPr>
        <w:ind w:firstLine="567"/>
        <w:jc w:val="center"/>
        <w:rPr>
          <w:b/>
          <w:bCs/>
        </w:rPr>
      </w:pPr>
    </w:p>
    <w:p w14:paraId="46A96E5B" w14:textId="77777777" w:rsidR="00D80372" w:rsidRPr="00AA07EA" w:rsidRDefault="00D80372" w:rsidP="00D80372">
      <w:pPr>
        <w:tabs>
          <w:tab w:val="left" w:pos="567"/>
        </w:tabs>
        <w:ind w:firstLine="567"/>
        <w:jc w:val="center"/>
        <w:rPr>
          <w:b/>
          <w:u w:val="single"/>
        </w:rPr>
      </w:pPr>
      <w:r w:rsidRPr="00AA07EA">
        <w:rPr>
          <w:b/>
          <w:u w:val="single"/>
        </w:rPr>
        <w:t>Безвозмездные поступления</w:t>
      </w:r>
    </w:p>
    <w:p w14:paraId="6CFB62A3" w14:textId="28E27ABB" w:rsidR="00D80372" w:rsidRDefault="00D80372" w:rsidP="00D80372">
      <w:pPr>
        <w:ind w:firstLine="567"/>
        <w:jc w:val="both"/>
      </w:pPr>
      <w:r w:rsidRPr="00AD408F">
        <w:t xml:space="preserve">Объем безвозмездных поступлений в бюджет </w:t>
      </w:r>
      <w:proofErr w:type="spellStart"/>
      <w:r>
        <w:t>Каразейс</w:t>
      </w:r>
      <w:r w:rsidRPr="00AD408F">
        <w:t>кого</w:t>
      </w:r>
      <w:proofErr w:type="spellEnd"/>
      <w:r w:rsidRPr="00AD408F">
        <w:t xml:space="preserve"> муниципального образования определен в соответствии с проектом закона Иркутской области «Об областном бюджете на </w:t>
      </w:r>
      <w:r w:rsidR="000E76FA">
        <w:t>202</w:t>
      </w:r>
      <w:r w:rsidR="00BC7AE8">
        <w:t>4</w:t>
      </w:r>
      <w:r w:rsidRPr="00AD408F">
        <w:t xml:space="preserve"> год и плановый период </w:t>
      </w:r>
      <w:r w:rsidR="000E76FA">
        <w:t>202</w:t>
      </w:r>
      <w:r w:rsidR="00BC7AE8">
        <w:t>5</w:t>
      </w:r>
      <w:r w:rsidRPr="00AD408F">
        <w:t xml:space="preserve"> и </w:t>
      </w:r>
      <w:r w:rsidR="000E76FA">
        <w:t>202</w:t>
      </w:r>
      <w:r w:rsidR="00BC7AE8">
        <w:t>6</w:t>
      </w:r>
      <w:r w:rsidRPr="00AD408F">
        <w:t xml:space="preserve"> годов», проектом решения Думы МО Куйтунский «О бюджете МО Куйтунский район на </w:t>
      </w:r>
      <w:r w:rsidR="000E76FA">
        <w:t>202</w:t>
      </w:r>
      <w:r w:rsidR="00BC7AE8">
        <w:t>4</w:t>
      </w:r>
      <w:r w:rsidRPr="00AD408F">
        <w:t xml:space="preserve"> год и плановый период </w:t>
      </w:r>
      <w:r w:rsidR="000E76FA">
        <w:t>202</w:t>
      </w:r>
      <w:r w:rsidR="00BC7AE8">
        <w:t>5</w:t>
      </w:r>
      <w:r w:rsidRPr="00AD408F">
        <w:t xml:space="preserve"> и </w:t>
      </w:r>
      <w:r w:rsidR="000E76FA">
        <w:t>202</w:t>
      </w:r>
      <w:r w:rsidR="00BC7AE8">
        <w:t>6</w:t>
      </w:r>
      <w:r w:rsidR="006B21F0">
        <w:t xml:space="preserve"> </w:t>
      </w:r>
      <w:r w:rsidRPr="00AD408F">
        <w:t>годов».</w:t>
      </w:r>
    </w:p>
    <w:p w14:paraId="0303EF4B" w14:textId="7B623C59" w:rsidR="00D80372" w:rsidRPr="00BE7780" w:rsidRDefault="00D80372" w:rsidP="00D80372">
      <w:pPr>
        <w:ind w:firstLine="567"/>
        <w:jc w:val="both"/>
      </w:pPr>
      <w:r>
        <w:t>Б</w:t>
      </w:r>
      <w:r w:rsidRPr="00BE7780">
        <w:t>езвозмездны</w:t>
      </w:r>
      <w:r>
        <w:t>е поступления</w:t>
      </w:r>
      <w:r w:rsidRPr="00BE7780">
        <w:t xml:space="preserve"> от других бюджетов бюджетной системы РФ </w:t>
      </w:r>
      <w:r w:rsidRPr="00737EAB">
        <w:t xml:space="preserve">на </w:t>
      </w:r>
      <w:r w:rsidR="000E76FA">
        <w:t>202</w:t>
      </w:r>
      <w:r w:rsidR="000512BC">
        <w:t>4</w:t>
      </w:r>
      <w:r w:rsidRPr="00737EAB">
        <w:t xml:space="preserve"> год запланирован</w:t>
      </w:r>
      <w:r>
        <w:t>ы</w:t>
      </w:r>
      <w:r w:rsidRPr="00737EAB">
        <w:t xml:space="preserve"> в сумме </w:t>
      </w:r>
      <w:r w:rsidR="000512BC">
        <w:t>12416,1</w:t>
      </w:r>
      <w:r w:rsidR="006B21F0">
        <w:t xml:space="preserve"> </w:t>
      </w:r>
      <w:r w:rsidRPr="00737EAB">
        <w:t xml:space="preserve">тыс. руб., или </w:t>
      </w:r>
      <w:r w:rsidR="000512BC">
        <w:t>97,6</w:t>
      </w:r>
      <w:r>
        <w:t>%</w:t>
      </w:r>
      <w:r w:rsidRPr="00737EAB">
        <w:t xml:space="preserve"> к ожидаемому поступлению </w:t>
      </w:r>
      <w:r>
        <w:t>20</w:t>
      </w:r>
      <w:r w:rsidR="000512BC">
        <w:t>23</w:t>
      </w:r>
      <w:r w:rsidRPr="00737EAB">
        <w:t xml:space="preserve"> года. В </w:t>
      </w:r>
      <w:r w:rsidR="000E76FA">
        <w:t>202</w:t>
      </w:r>
      <w:r w:rsidR="000512BC">
        <w:t>5</w:t>
      </w:r>
      <w:r w:rsidRPr="00737EAB">
        <w:t xml:space="preserve"> году – </w:t>
      </w:r>
      <w:r w:rsidR="000512BC">
        <w:t>8278,6</w:t>
      </w:r>
      <w:r w:rsidRPr="00737EAB">
        <w:t xml:space="preserve"> тыс. руб.</w:t>
      </w:r>
      <w:r>
        <w:t>,</w:t>
      </w:r>
      <w:r w:rsidRPr="00737EAB">
        <w:t xml:space="preserve"> или</w:t>
      </w:r>
      <w:r w:rsidR="000512BC">
        <w:t xml:space="preserve"> 66,7%</w:t>
      </w:r>
      <w:r w:rsidRPr="00737EAB">
        <w:t xml:space="preserve"> к уровню </w:t>
      </w:r>
      <w:r w:rsidR="000E76FA">
        <w:t>202</w:t>
      </w:r>
      <w:r w:rsidR="000512BC">
        <w:t>4</w:t>
      </w:r>
      <w:r w:rsidRPr="00737EAB">
        <w:t xml:space="preserve"> года, в </w:t>
      </w:r>
      <w:r w:rsidR="000E76FA">
        <w:t>202</w:t>
      </w:r>
      <w:r w:rsidR="000512BC">
        <w:t>6</w:t>
      </w:r>
      <w:r w:rsidRPr="00737EAB">
        <w:t xml:space="preserve"> году –</w:t>
      </w:r>
      <w:r>
        <w:t xml:space="preserve"> </w:t>
      </w:r>
      <w:r w:rsidR="000512BC">
        <w:t>8128,1</w:t>
      </w:r>
      <w:r>
        <w:t xml:space="preserve"> тыс. руб., или </w:t>
      </w:r>
      <w:r w:rsidR="000512BC">
        <w:t>98,2</w:t>
      </w:r>
      <w:r w:rsidRPr="00737EAB">
        <w:t xml:space="preserve">% к уровню </w:t>
      </w:r>
      <w:r w:rsidR="000E76FA">
        <w:t>202</w:t>
      </w:r>
      <w:r w:rsidR="000512BC">
        <w:t>5</w:t>
      </w:r>
      <w:r w:rsidR="00215D07">
        <w:t xml:space="preserve"> года, в том числе:</w:t>
      </w:r>
    </w:p>
    <w:p w14:paraId="48FFCF43" w14:textId="435EBA3B" w:rsidR="00625F47" w:rsidRDefault="00D80372" w:rsidP="00D80372">
      <w:pPr>
        <w:ind w:firstLine="567"/>
        <w:jc w:val="both"/>
      </w:pPr>
      <w:r>
        <w:t xml:space="preserve">- дотации </w:t>
      </w:r>
      <w:r w:rsidRPr="00737EAB">
        <w:t>на выравнивание бюджетной обеспеченности поселения</w:t>
      </w:r>
      <w:r>
        <w:t xml:space="preserve"> (из районного бюджета)</w:t>
      </w:r>
      <w:r w:rsidRPr="00737EAB">
        <w:t xml:space="preserve"> </w:t>
      </w:r>
      <w:r>
        <w:t>запланированы на 202</w:t>
      </w:r>
      <w:r w:rsidR="000512BC">
        <w:t>4</w:t>
      </w:r>
      <w:r>
        <w:t xml:space="preserve"> год в сумме </w:t>
      </w:r>
      <w:r w:rsidR="00C83758">
        <w:t>9</w:t>
      </w:r>
      <w:r w:rsidR="000512BC">
        <w:t>511,3</w:t>
      </w:r>
      <w:r>
        <w:t xml:space="preserve"> тыс. руб., что </w:t>
      </w:r>
      <w:r w:rsidR="00C46175">
        <w:t>меньше ожидаемого исполнения 202</w:t>
      </w:r>
      <w:r w:rsidR="000512BC">
        <w:t>3</w:t>
      </w:r>
      <w:r>
        <w:t xml:space="preserve"> года на </w:t>
      </w:r>
      <w:r w:rsidR="000512BC">
        <w:t xml:space="preserve">708 </w:t>
      </w:r>
      <w:r>
        <w:t>тыс.</w:t>
      </w:r>
      <w:r w:rsidR="00625F47">
        <w:t xml:space="preserve"> </w:t>
      </w:r>
      <w:r>
        <w:t xml:space="preserve">руб. В </w:t>
      </w:r>
      <w:r w:rsidR="000E76FA">
        <w:t>202</w:t>
      </w:r>
      <w:r w:rsidR="000512BC">
        <w:t>5</w:t>
      </w:r>
      <w:r>
        <w:t xml:space="preserve"> году дотации запланированы в объеме </w:t>
      </w:r>
      <w:r w:rsidR="000512BC">
        <w:t>7606</w:t>
      </w:r>
      <w:r w:rsidR="00625F47">
        <w:t xml:space="preserve"> тыс. руб., в </w:t>
      </w:r>
      <w:r w:rsidR="000E76FA">
        <w:t>202</w:t>
      </w:r>
      <w:r w:rsidR="000512BC">
        <w:t>6</w:t>
      </w:r>
      <w:r>
        <w:t xml:space="preserve"> году – </w:t>
      </w:r>
      <w:r w:rsidR="00C83758">
        <w:t>7</w:t>
      </w:r>
      <w:r w:rsidR="000512BC">
        <w:t>645</w:t>
      </w:r>
      <w:r>
        <w:t xml:space="preserve"> тыс. руб.</w:t>
      </w:r>
    </w:p>
    <w:p w14:paraId="18BF0DF8" w14:textId="3DE13EC3" w:rsidR="00A4277B" w:rsidRDefault="00A4277B" w:rsidP="00A4277B">
      <w:pPr>
        <w:ind w:firstLine="539"/>
        <w:jc w:val="both"/>
      </w:pPr>
      <w:r>
        <w:t>- с</w:t>
      </w:r>
      <w:r w:rsidRPr="00E00E58">
        <w:t>убвенци</w:t>
      </w:r>
      <w:r>
        <w:t>и</w:t>
      </w:r>
      <w:r w:rsidRPr="00E00E58">
        <w:t xml:space="preserve"> (на осуществление первичного воинского учета, на выполнение государственных полномочий составлять протоколы об административных правонарушениях</w:t>
      </w:r>
      <w:r>
        <w:t xml:space="preserve">, </w:t>
      </w:r>
      <w:r w:rsidR="00C83758">
        <w:t>на осуществление о</w:t>
      </w:r>
      <w:r w:rsidR="00C83758" w:rsidRPr="00C83758">
        <w:t>тдельных областных государственных полномочий в сфере водоснабжения и водоотведения</w:t>
      </w:r>
      <w:r w:rsidRPr="00E00E58">
        <w:t>) запланирован</w:t>
      </w:r>
      <w:r>
        <w:t>ы</w:t>
      </w:r>
      <w:r w:rsidRPr="00E00E58">
        <w:t xml:space="preserve"> на </w:t>
      </w:r>
      <w:r w:rsidR="000E76FA">
        <w:t>202</w:t>
      </w:r>
      <w:r w:rsidR="000512BC">
        <w:t>4</w:t>
      </w:r>
      <w:r w:rsidRPr="00E00E58">
        <w:t xml:space="preserve"> год</w:t>
      </w:r>
      <w:r>
        <w:t xml:space="preserve"> в сумме </w:t>
      </w:r>
      <w:r w:rsidR="000512BC">
        <w:t xml:space="preserve">249,2 </w:t>
      </w:r>
      <w:r>
        <w:t>тыс. руб., или 1</w:t>
      </w:r>
      <w:r w:rsidR="000512BC">
        <w:t>04,1</w:t>
      </w:r>
      <w:r w:rsidR="00C83758">
        <w:t>%</w:t>
      </w:r>
      <w:r>
        <w:t xml:space="preserve"> к ожидаемому исполнению 202</w:t>
      </w:r>
      <w:r w:rsidR="000512BC">
        <w:t>3</w:t>
      </w:r>
      <w:r>
        <w:t xml:space="preserve"> года, на </w:t>
      </w:r>
      <w:r w:rsidR="000E76FA">
        <w:t>202</w:t>
      </w:r>
      <w:r w:rsidR="000512BC">
        <w:t>5</w:t>
      </w:r>
      <w:r>
        <w:t xml:space="preserve">г. – </w:t>
      </w:r>
      <w:r w:rsidR="00C83758">
        <w:t>2</w:t>
      </w:r>
      <w:r w:rsidR="000512BC">
        <w:t>56</w:t>
      </w:r>
      <w:r>
        <w:t xml:space="preserve"> тыс. руб., или </w:t>
      </w:r>
      <w:r w:rsidR="00C83758">
        <w:t>10</w:t>
      </w:r>
      <w:r w:rsidR="000512BC">
        <w:t>2,7</w:t>
      </w:r>
      <w:r>
        <w:t xml:space="preserve">% к уровню </w:t>
      </w:r>
      <w:r w:rsidR="000E76FA">
        <w:t>202</w:t>
      </w:r>
      <w:r w:rsidR="000512BC">
        <w:t>4</w:t>
      </w:r>
      <w:r>
        <w:t xml:space="preserve">г., на </w:t>
      </w:r>
      <w:r w:rsidR="000E76FA">
        <w:t>2025</w:t>
      </w:r>
      <w:r w:rsidR="00C83758">
        <w:t>г</w:t>
      </w:r>
      <w:r>
        <w:t xml:space="preserve">. – </w:t>
      </w:r>
      <w:r w:rsidR="00A9289D">
        <w:t>66,5</w:t>
      </w:r>
      <w:r>
        <w:t xml:space="preserve"> тыс. руб., или </w:t>
      </w:r>
      <w:r w:rsidR="00A9289D">
        <w:t>26</w:t>
      </w:r>
      <w:r>
        <w:t xml:space="preserve">% к уровню </w:t>
      </w:r>
      <w:r w:rsidR="000E76FA">
        <w:t>202</w:t>
      </w:r>
      <w:r w:rsidR="00A9289D">
        <w:t>5</w:t>
      </w:r>
      <w:r>
        <w:t>г.</w:t>
      </w:r>
      <w:r w:rsidR="00A9289D">
        <w:t xml:space="preserve"> </w:t>
      </w:r>
    </w:p>
    <w:p w14:paraId="1E14BFA5" w14:textId="77777777" w:rsidR="00355609" w:rsidRDefault="00CE3213" w:rsidP="00CE3213">
      <w:pPr>
        <w:ind w:firstLine="567"/>
        <w:jc w:val="both"/>
      </w:pPr>
      <w:r>
        <w:t xml:space="preserve">- субсидии на реализацию мероприятий народных инициатив </w:t>
      </w:r>
      <w:r w:rsidR="00C83758">
        <w:t>запланированы на</w:t>
      </w:r>
      <w:r w:rsidR="00355609">
        <w:t xml:space="preserve"> 2024г. и на плановый период 2025-2026 годов предусмотрена по 416,6 тыс. руб. ежегодно.</w:t>
      </w:r>
    </w:p>
    <w:p w14:paraId="7487984A" w14:textId="3377A28A" w:rsidR="005338D3" w:rsidRDefault="00355609" w:rsidP="00CE3213">
      <w:pPr>
        <w:ind w:firstLine="567"/>
        <w:jc w:val="both"/>
      </w:pPr>
      <w:r>
        <w:t xml:space="preserve"> - субсиди</w:t>
      </w:r>
      <w:r w:rsidR="000649AD">
        <w:t>я</w:t>
      </w:r>
      <w:r>
        <w:t xml:space="preserve"> на софинансирование мероприятий, направленных на снижение негативного воздействия отходов на окружающую среду предусмотрена на 2024 год в объеме 2239 тыс. руб.</w:t>
      </w:r>
    </w:p>
    <w:p w14:paraId="5355AFA5" w14:textId="77777777" w:rsidR="009530CB" w:rsidRDefault="009530CB" w:rsidP="00CE3213">
      <w:pPr>
        <w:ind w:firstLine="567"/>
        <w:jc w:val="both"/>
      </w:pPr>
    </w:p>
    <w:p w14:paraId="07B51312" w14:textId="77777777" w:rsidR="00D80372" w:rsidRPr="004E4D39" w:rsidRDefault="00D80372" w:rsidP="00D80372">
      <w:pPr>
        <w:autoSpaceDE w:val="0"/>
        <w:autoSpaceDN w:val="0"/>
        <w:adjustRightInd w:val="0"/>
        <w:ind w:firstLine="540"/>
        <w:jc w:val="center"/>
        <w:rPr>
          <w:rFonts w:eastAsia="SimSun"/>
          <w:b/>
        </w:rPr>
      </w:pPr>
      <w:r>
        <w:rPr>
          <w:rFonts w:eastAsia="SimSun"/>
          <w:b/>
        </w:rPr>
        <w:t>3</w:t>
      </w:r>
      <w:r w:rsidRPr="00E74888">
        <w:rPr>
          <w:rFonts w:eastAsia="SimSun"/>
          <w:b/>
        </w:rPr>
        <w:t>.</w:t>
      </w:r>
      <w:r>
        <w:rPr>
          <w:rFonts w:eastAsia="SimSun"/>
          <w:b/>
        </w:rPr>
        <w:t>2</w:t>
      </w:r>
      <w:r w:rsidRPr="00E74888">
        <w:rPr>
          <w:rFonts w:eastAsia="SimSun"/>
          <w:b/>
        </w:rPr>
        <w:t xml:space="preserve"> </w:t>
      </w:r>
      <w:r w:rsidRPr="004E4D39">
        <w:rPr>
          <w:rFonts w:eastAsia="SimSun"/>
          <w:b/>
        </w:rPr>
        <w:t xml:space="preserve">Характеристика проекта бюджета </w:t>
      </w:r>
      <w:proofErr w:type="spellStart"/>
      <w:r>
        <w:rPr>
          <w:rFonts w:eastAsia="SimSun"/>
          <w:b/>
        </w:rPr>
        <w:t>Каразейского</w:t>
      </w:r>
      <w:proofErr w:type="spellEnd"/>
      <w:r w:rsidRPr="004E4D39">
        <w:rPr>
          <w:rFonts w:eastAsia="SimSun"/>
          <w:b/>
        </w:rPr>
        <w:t xml:space="preserve"> МО по </w:t>
      </w:r>
      <w:r>
        <w:rPr>
          <w:rFonts w:eastAsia="SimSun"/>
          <w:b/>
        </w:rPr>
        <w:t>рас</w:t>
      </w:r>
      <w:r w:rsidRPr="004E4D39">
        <w:rPr>
          <w:rFonts w:eastAsia="SimSun"/>
          <w:b/>
        </w:rPr>
        <w:t>ходам</w:t>
      </w:r>
    </w:p>
    <w:p w14:paraId="48A950FC" w14:textId="5C8F32DC" w:rsidR="00D80372" w:rsidRDefault="00D80372" w:rsidP="00D80372">
      <w:pPr>
        <w:autoSpaceDE w:val="0"/>
        <w:autoSpaceDN w:val="0"/>
        <w:adjustRightInd w:val="0"/>
        <w:ind w:firstLine="540"/>
        <w:jc w:val="center"/>
        <w:rPr>
          <w:rFonts w:eastAsia="SimSun"/>
          <w:b/>
        </w:rPr>
      </w:pPr>
      <w:r w:rsidRPr="004E4D39">
        <w:rPr>
          <w:rFonts w:eastAsia="SimSun"/>
          <w:b/>
        </w:rPr>
        <w:t xml:space="preserve">на </w:t>
      </w:r>
      <w:r w:rsidR="000E76FA">
        <w:rPr>
          <w:rFonts w:eastAsia="SimSun"/>
          <w:b/>
        </w:rPr>
        <w:t>2023</w:t>
      </w:r>
      <w:r w:rsidRPr="004E4D39">
        <w:rPr>
          <w:rFonts w:eastAsia="SimSun"/>
          <w:b/>
        </w:rPr>
        <w:t xml:space="preserve"> год и плановый период </w:t>
      </w:r>
      <w:r w:rsidR="000E76FA">
        <w:rPr>
          <w:rFonts w:eastAsia="SimSun"/>
          <w:b/>
        </w:rPr>
        <w:t>2024</w:t>
      </w:r>
      <w:r w:rsidRPr="004E4D39">
        <w:rPr>
          <w:rFonts w:eastAsia="SimSun"/>
          <w:b/>
        </w:rPr>
        <w:t>-</w:t>
      </w:r>
      <w:r w:rsidR="000E76FA">
        <w:rPr>
          <w:rFonts w:eastAsia="SimSun"/>
          <w:b/>
        </w:rPr>
        <w:t>2025</w:t>
      </w:r>
      <w:r w:rsidRPr="004E4D39">
        <w:rPr>
          <w:rFonts w:eastAsia="SimSun"/>
          <w:b/>
        </w:rPr>
        <w:t>гг.</w:t>
      </w:r>
    </w:p>
    <w:p w14:paraId="53519E6C" w14:textId="15196B17" w:rsidR="00E93B6D" w:rsidRDefault="00E93B6D" w:rsidP="00D80372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 xml:space="preserve">Расходы </w:t>
      </w:r>
      <w:r w:rsidR="00C470C2">
        <w:rPr>
          <w:rFonts w:eastAsia="SimSun"/>
        </w:rPr>
        <w:t xml:space="preserve">в </w:t>
      </w:r>
      <w:r w:rsidR="00C470C2" w:rsidRPr="00542137">
        <w:rPr>
          <w:rFonts w:eastAsia="SimSun"/>
        </w:rPr>
        <w:t>соответствии</w:t>
      </w:r>
      <w:r>
        <w:rPr>
          <w:rFonts w:eastAsia="SimSun"/>
        </w:rPr>
        <w:t xml:space="preserve"> с ведомственной структурой расходов будет осуществлять один главный распорядитель бюджетных средств – администрация </w:t>
      </w:r>
      <w:proofErr w:type="spellStart"/>
      <w:r>
        <w:rPr>
          <w:rFonts w:eastAsia="SimSun"/>
        </w:rPr>
        <w:t>Каразейского</w:t>
      </w:r>
      <w:proofErr w:type="spellEnd"/>
      <w:r>
        <w:rPr>
          <w:rFonts w:eastAsia="SimSun"/>
        </w:rPr>
        <w:t xml:space="preserve"> муниципального образования.</w:t>
      </w:r>
    </w:p>
    <w:p w14:paraId="2294BD46" w14:textId="5B93E1FD"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542137">
        <w:rPr>
          <w:rFonts w:eastAsia="SimSun"/>
        </w:rPr>
        <w:t xml:space="preserve">Бюджетные ассигнования на реализацию расходных обязательств </w:t>
      </w:r>
      <w:proofErr w:type="spellStart"/>
      <w:r>
        <w:rPr>
          <w:rFonts w:eastAsia="SimSun"/>
        </w:rPr>
        <w:t>Каразейского</w:t>
      </w:r>
      <w:proofErr w:type="spellEnd"/>
      <w:r w:rsidRPr="00542137">
        <w:rPr>
          <w:rFonts w:eastAsia="SimSun"/>
        </w:rPr>
        <w:t xml:space="preserve"> </w:t>
      </w:r>
      <w:r>
        <w:rPr>
          <w:rFonts w:eastAsia="SimSun"/>
        </w:rPr>
        <w:t>МО</w:t>
      </w:r>
      <w:r w:rsidRPr="00542137">
        <w:rPr>
          <w:rFonts w:eastAsia="SimSun"/>
        </w:rPr>
        <w:t xml:space="preserve">  на </w:t>
      </w:r>
      <w:r w:rsidR="000E76FA">
        <w:rPr>
          <w:rFonts w:eastAsia="SimSun"/>
        </w:rPr>
        <w:t>202</w:t>
      </w:r>
      <w:r w:rsidR="000649AD">
        <w:rPr>
          <w:rFonts w:eastAsia="SimSun"/>
        </w:rPr>
        <w:t>4</w:t>
      </w:r>
      <w:r w:rsidRPr="00542137">
        <w:rPr>
          <w:rFonts w:eastAsia="SimSun"/>
        </w:rPr>
        <w:t>г.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 xml:space="preserve">запланированы в объеме </w:t>
      </w:r>
      <w:r w:rsidR="00FD759D">
        <w:rPr>
          <w:rFonts w:eastAsia="SimSun"/>
        </w:rPr>
        <w:t>1</w:t>
      </w:r>
      <w:r w:rsidR="000649AD">
        <w:rPr>
          <w:rFonts w:eastAsia="SimSun"/>
        </w:rPr>
        <w:t>6634,7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>тыс.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 xml:space="preserve">руб., на плановый период </w:t>
      </w:r>
      <w:r w:rsidR="000E76FA">
        <w:rPr>
          <w:rFonts w:eastAsia="SimSun"/>
        </w:rPr>
        <w:t>202</w:t>
      </w:r>
      <w:r w:rsidR="000649AD">
        <w:rPr>
          <w:rFonts w:eastAsia="SimSun"/>
        </w:rPr>
        <w:t>5</w:t>
      </w:r>
      <w:r w:rsidRPr="00542137">
        <w:rPr>
          <w:rFonts w:eastAsia="SimSun"/>
        </w:rPr>
        <w:t xml:space="preserve">г. – </w:t>
      </w:r>
      <w:r w:rsidR="00453574">
        <w:rPr>
          <w:rFonts w:eastAsia="SimSun"/>
        </w:rPr>
        <w:t xml:space="preserve">12292,1 </w:t>
      </w:r>
      <w:r w:rsidRPr="00542137">
        <w:rPr>
          <w:rFonts w:eastAsia="SimSun"/>
        </w:rPr>
        <w:t>тыс.</w:t>
      </w:r>
      <w:r w:rsidR="00453574">
        <w:rPr>
          <w:rFonts w:eastAsia="SimSun"/>
        </w:rPr>
        <w:t xml:space="preserve"> </w:t>
      </w:r>
      <w:r w:rsidRPr="00542137">
        <w:rPr>
          <w:rFonts w:eastAsia="SimSun"/>
        </w:rPr>
        <w:t>ру</w:t>
      </w:r>
      <w:r>
        <w:rPr>
          <w:rFonts w:eastAsia="SimSun"/>
        </w:rPr>
        <w:t>б</w:t>
      </w:r>
      <w:r w:rsidRPr="00542137">
        <w:rPr>
          <w:rFonts w:eastAsia="SimSun"/>
        </w:rPr>
        <w:t xml:space="preserve">., на </w:t>
      </w:r>
      <w:r w:rsidR="000E76FA">
        <w:rPr>
          <w:rFonts w:eastAsia="SimSun"/>
        </w:rPr>
        <w:t>202</w:t>
      </w:r>
      <w:r w:rsidR="00453574">
        <w:rPr>
          <w:rFonts w:eastAsia="SimSun"/>
        </w:rPr>
        <w:t>6</w:t>
      </w:r>
      <w:r w:rsidRPr="00542137">
        <w:rPr>
          <w:rFonts w:eastAsia="SimSun"/>
        </w:rPr>
        <w:t>г. –</w:t>
      </w:r>
      <w:r>
        <w:rPr>
          <w:rFonts w:eastAsia="SimSun"/>
        </w:rPr>
        <w:t xml:space="preserve"> </w:t>
      </w:r>
      <w:r w:rsidR="00FD759D">
        <w:rPr>
          <w:rFonts w:eastAsia="SimSun"/>
        </w:rPr>
        <w:t>1</w:t>
      </w:r>
      <w:r w:rsidR="00453574">
        <w:rPr>
          <w:rFonts w:eastAsia="SimSun"/>
        </w:rPr>
        <w:t>11940,3</w:t>
      </w:r>
      <w:r w:rsidR="00DD763C">
        <w:rPr>
          <w:rFonts w:eastAsia="SimSun"/>
        </w:rPr>
        <w:t xml:space="preserve"> </w:t>
      </w:r>
      <w:r w:rsidRPr="00542137">
        <w:rPr>
          <w:rFonts w:eastAsia="SimSun"/>
        </w:rPr>
        <w:t>тыс.</w:t>
      </w:r>
      <w:r w:rsidR="00DD763C">
        <w:rPr>
          <w:rFonts w:eastAsia="SimSun"/>
        </w:rPr>
        <w:t xml:space="preserve"> </w:t>
      </w:r>
      <w:r w:rsidRPr="00542137">
        <w:rPr>
          <w:rFonts w:eastAsia="SimSun"/>
        </w:rPr>
        <w:t>руб.</w:t>
      </w:r>
      <w:r>
        <w:rPr>
          <w:rFonts w:eastAsia="SimSun"/>
        </w:rPr>
        <w:t xml:space="preserve"> </w:t>
      </w:r>
      <w:r w:rsidRPr="00265F41">
        <w:rPr>
          <w:rFonts w:eastAsia="SimSun"/>
        </w:rPr>
        <w:t xml:space="preserve">Основными направлениями расходов бюджета поселения на </w:t>
      </w:r>
      <w:r w:rsidR="000E76FA" w:rsidRPr="00265F41">
        <w:rPr>
          <w:rFonts w:eastAsia="SimSun"/>
        </w:rPr>
        <w:t>202</w:t>
      </w:r>
      <w:r w:rsidR="00F84AD0" w:rsidRPr="00265F41">
        <w:rPr>
          <w:rFonts w:eastAsia="SimSun"/>
        </w:rPr>
        <w:t>4</w:t>
      </w:r>
      <w:r w:rsidRPr="00265F41">
        <w:rPr>
          <w:rFonts w:eastAsia="SimSun"/>
        </w:rPr>
        <w:t xml:space="preserve"> год и плановый период </w:t>
      </w:r>
      <w:r w:rsidR="000E76FA" w:rsidRPr="00265F41">
        <w:rPr>
          <w:rFonts w:eastAsia="SimSun"/>
        </w:rPr>
        <w:t>202</w:t>
      </w:r>
      <w:r w:rsidR="00F84AD0" w:rsidRPr="00265F41">
        <w:rPr>
          <w:rFonts w:eastAsia="SimSun"/>
        </w:rPr>
        <w:t>5</w:t>
      </w:r>
      <w:r w:rsidRPr="00265F41">
        <w:rPr>
          <w:rFonts w:eastAsia="SimSun"/>
        </w:rPr>
        <w:t xml:space="preserve"> и </w:t>
      </w:r>
      <w:r w:rsidR="000E76FA" w:rsidRPr="00265F41">
        <w:rPr>
          <w:rFonts w:eastAsia="SimSun"/>
        </w:rPr>
        <w:t>202</w:t>
      </w:r>
      <w:r w:rsidR="00F84AD0" w:rsidRPr="00265F41">
        <w:rPr>
          <w:rFonts w:eastAsia="SimSun"/>
        </w:rPr>
        <w:t xml:space="preserve">6 </w:t>
      </w:r>
      <w:r w:rsidRPr="00265F41">
        <w:rPr>
          <w:rFonts w:eastAsia="SimSun"/>
        </w:rPr>
        <w:t>годов остаются, как и в предыдущие годы, расходы на культуру (3</w:t>
      </w:r>
      <w:r w:rsidR="00F84AD0" w:rsidRPr="00265F41">
        <w:rPr>
          <w:rFonts w:eastAsia="SimSun"/>
        </w:rPr>
        <w:t>3,5</w:t>
      </w:r>
      <w:r w:rsidRPr="00265F41">
        <w:rPr>
          <w:rFonts w:eastAsia="SimSun"/>
        </w:rPr>
        <w:t>-</w:t>
      </w:r>
      <w:r w:rsidR="00421FC2" w:rsidRPr="00265F41">
        <w:rPr>
          <w:rFonts w:eastAsia="SimSun"/>
        </w:rPr>
        <w:t>42,</w:t>
      </w:r>
      <w:r w:rsidR="00F84AD0" w:rsidRPr="00265F41">
        <w:rPr>
          <w:rFonts w:eastAsia="SimSun"/>
        </w:rPr>
        <w:t>7</w:t>
      </w:r>
      <w:r w:rsidRPr="00265F41">
        <w:rPr>
          <w:rFonts w:eastAsia="SimSun"/>
        </w:rPr>
        <w:t>% в общих расходах бюджета)</w:t>
      </w:r>
      <w:r w:rsidR="00421FC2" w:rsidRPr="00265F41">
        <w:rPr>
          <w:rFonts w:eastAsia="SimSun"/>
        </w:rPr>
        <w:t xml:space="preserve"> и на</w:t>
      </w:r>
      <w:r w:rsidRPr="00265F41">
        <w:rPr>
          <w:rFonts w:eastAsia="SimSun"/>
        </w:rPr>
        <w:t xml:space="preserve"> общегосударственные вопросы (</w:t>
      </w:r>
      <w:r w:rsidR="00DD763C" w:rsidRPr="00265F41">
        <w:rPr>
          <w:rFonts w:eastAsia="SimSun"/>
        </w:rPr>
        <w:t>3</w:t>
      </w:r>
      <w:r w:rsidR="00265F41" w:rsidRPr="00265F41">
        <w:rPr>
          <w:rFonts w:eastAsia="SimSun"/>
        </w:rPr>
        <w:t>2,2</w:t>
      </w:r>
      <w:r w:rsidRPr="00265F41">
        <w:rPr>
          <w:rFonts w:eastAsia="SimSun"/>
        </w:rPr>
        <w:t>-</w:t>
      </w:r>
      <w:r w:rsidR="00DD763C" w:rsidRPr="00265F41">
        <w:rPr>
          <w:rFonts w:eastAsia="SimSun"/>
        </w:rPr>
        <w:t>3</w:t>
      </w:r>
      <w:r w:rsidR="00265F41" w:rsidRPr="00265F41">
        <w:rPr>
          <w:rFonts w:eastAsia="SimSun"/>
        </w:rPr>
        <w:t>5,5</w:t>
      </w:r>
      <w:r w:rsidR="00DD763C" w:rsidRPr="00265F41">
        <w:rPr>
          <w:rFonts w:eastAsia="SimSun"/>
        </w:rPr>
        <w:t>%</w:t>
      </w:r>
      <w:r w:rsidRPr="00265F41">
        <w:rPr>
          <w:rFonts w:eastAsia="SimSun"/>
        </w:rPr>
        <w:t xml:space="preserve"> в общих расходах бюджета)</w:t>
      </w:r>
      <w:r w:rsidR="00EF4CAE" w:rsidRPr="00265F41">
        <w:rPr>
          <w:rFonts w:eastAsia="SimSun"/>
        </w:rPr>
        <w:t>.</w:t>
      </w:r>
      <w:r w:rsidRPr="009F1081">
        <w:t xml:space="preserve"> </w:t>
      </w:r>
      <w:r w:rsidRPr="009F1081">
        <w:rPr>
          <w:rFonts w:eastAsia="SimSun"/>
        </w:rPr>
        <w:t xml:space="preserve">Условно утверждаемые расходы на </w:t>
      </w:r>
      <w:r w:rsidR="000E76FA">
        <w:rPr>
          <w:rFonts w:eastAsia="SimSun"/>
        </w:rPr>
        <w:t>202</w:t>
      </w:r>
      <w:r w:rsidR="00453574">
        <w:rPr>
          <w:rFonts w:eastAsia="SimSun"/>
        </w:rPr>
        <w:t>5</w:t>
      </w:r>
      <w:r w:rsidRPr="009F1081">
        <w:rPr>
          <w:rFonts w:eastAsia="SimSun"/>
        </w:rPr>
        <w:t xml:space="preserve"> год и </w:t>
      </w:r>
      <w:r w:rsidR="000E76FA">
        <w:rPr>
          <w:rFonts w:eastAsia="SimSun"/>
        </w:rPr>
        <w:t>202</w:t>
      </w:r>
      <w:r w:rsidR="00453574">
        <w:rPr>
          <w:rFonts w:eastAsia="SimSun"/>
        </w:rPr>
        <w:t>6</w:t>
      </w:r>
      <w:r w:rsidRPr="009F1081">
        <w:rPr>
          <w:rFonts w:eastAsia="SimSun"/>
        </w:rPr>
        <w:t xml:space="preserve"> год запланированы с учетом норм бюджетного законодательства</w:t>
      </w:r>
      <w:r>
        <w:rPr>
          <w:rFonts w:eastAsia="SimSun"/>
        </w:rPr>
        <w:t xml:space="preserve"> </w:t>
      </w:r>
      <w:r w:rsidRPr="009F1081">
        <w:rPr>
          <w:rFonts w:eastAsia="SimSun"/>
        </w:rPr>
        <w:t xml:space="preserve">— </w:t>
      </w:r>
      <w:r>
        <w:rPr>
          <w:rFonts w:eastAsia="SimSun"/>
        </w:rPr>
        <w:t xml:space="preserve">не менее </w:t>
      </w:r>
      <w:r w:rsidRPr="009F1081">
        <w:rPr>
          <w:rFonts w:eastAsia="SimSun"/>
        </w:rPr>
        <w:t>2,5% и 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соответственно</w:t>
      </w:r>
      <w:r>
        <w:rPr>
          <w:rFonts w:eastAsia="SimSun"/>
        </w:rPr>
        <w:t xml:space="preserve">. </w:t>
      </w:r>
    </w:p>
    <w:p w14:paraId="3F2DE538" w14:textId="3950AE11" w:rsidR="00D80372" w:rsidRPr="001C580F" w:rsidRDefault="00D80372" w:rsidP="00D80372">
      <w:pPr>
        <w:jc w:val="both"/>
        <w:rPr>
          <w:rFonts w:eastAsia="SimSun"/>
        </w:rPr>
      </w:pPr>
      <w:r w:rsidRPr="00983219">
        <w:rPr>
          <w:rFonts w:eastAsia="SimSun"/>
        </w:rPr>
        <w:tab/>
      </w:r>
      <w:r w:rsidRPr="0050683D">
        <w:rPr>
          <w:rFonts w:eastAsia="SimSun"/>
          <w:lang w:val="x-none"/>
        </w:rPr>
        <w:t xml:space="preserve">Сравнительный анализ расходов местного бюджета по разделам в </w:t>
      </w:r>
      <w:r w:rsidR="000E721E">
        <w:rPr>
          <w:rFonts w:eastAsia="SimSun"/>
          <w:lang w:val="x-none"/>
        </w:rPr>
        <w:t>202</w:t>
      </w:r>
      <w:r w:rsidR="00F84AD0">
        <w:rPr>
          <w:rFonts w:eastAsia="SimSun"/>
        </w:rPr>
        <w:t>3</w:t>
      </w:r>
      <w:r w:rsidRPr="0050683D">
        <w:rPr>
          <w:rFonts w:eastAsia="SimSun"/>
          <w:lang w:val="x-none"/>
        </w:rPr>
        <w:t>-</w:t>
      </w:r>
      <w:r w:rsidR="000E76FA">
        <w:rPr>
          <w:rFonts w:eastAsia="SimSun"/>
          <w:lang w:val="x-none"/>
        </w:rPr>
        <w:t>202</w:t>
      </w:r>
      <w:r w:rsidR="00F84AD0">
        <w:rPr>
          <w:rFonts w:eastAsia="SimSun"/>
        </w:rPr>
        <w:t>6</w:t>
      </w:r>
      <w:r w:rsidRPr="0050683D">
        <w:rPr>
          <w:rFonts w:eastAsia="SimSun"/>
          <w:lang w:val="x-none"/>
        </w:rPr>
        <w:t>годах представлен в таблице №</w:t>
      </w:r>
      <w:r w:rsidR="00FD759D">
        <w:rPr>
          <w:rFonts w:eastAsia="SimSun"/>
        </w:rPr>
        <w:t xml:space="preserve"> 4</w:t>
      </w:r>
      <w:r>
        <w:rPr>
          <w:rFonts w:eastAsia="SimSun"/>
          <w:lang w:val="x-none"/>
        </w:rPr>
        <w:t>.</w:t>
      </w:r>
      <w:r w:rsidRPr="00BE2AF8">
        <w:t xml:space="preserve"> </w:t>
      </w:r>
      <w:r w:rsidRPr="00BE2AF8">
        <w:rPr>
          <w:rFonts w:eastAsia="SimSun"/>
          <w:lang w:val="x-none"/>
        </w:rPr>
        <w:t xml:space="preserve">Расходы бюджета на </w:t>
      </w:r>
      <w:r w:rsidR="000E76FA">
        <w:rPr>
          <w:rFonts w:eastAsia="SimSun"/>
          <w:lang w:val="x-none"/>
        </w:rPr>
        <w:t>202</w:t>
      </w:r>
      <w:r w:rsidR="00F84AD0">
        <w:rPr>
          <w:rFonts w:eastAsia="SimSun"/>
        </w:rPr>
        <w:t>5</w:t>
      </w:r>
      <w:r w:rsidRPr="00BE2AF8">
        <w:rPr>
          <w:rFonts w:eastAsia="SimSun"/>
          <w:lang w:val="x-none"/>
        </w:rPr>
        <w:t>-</w:t>
      </w:r>
      <w:r w:rsidR="000E76FA">
        <w:rPr>
          <w:rFonts w:eastAsia="SimSun"/>
          <w:lang w:val="x-none"/>
        </w:rPr>
        <w:t>202</w:t>
      </w:r>
      <w:r w:rsidR="00F84AD0">
        <w:rPr>
          <w:rFonts w:eastAsia="SimSun"/>
        </w:rPr>
        <w:t>6</w:t>
      </w:r>
      <w:r w:rsidRPr="00BE2AF8">
        <w:rPr>
          <w:rFonts w:eastAsia="SimSun"/>
          <w:lang w:val="x-none"/>
        </w:rPr>
        <w:t>гг. представлены без условно утверждаемых расходов.</w:t>
      </w:r>
    </w:p>
    <w:p w14:paraId="5EBF776C" w14:textId="6A408D8F" w:rsidR="00D80372" w:rsidRPr="00A351A3" w:rsidRDefault="00D80372" w:rsidP="00D80372">
      <w:pPr>
        <w:jc w:val="right"/>
        <w:rPr>
          <w:rFonts w:eastAsia="SimSun"/>
        </w:rPr>
      </w:pPr>
      <w:r w:rsidRPr="00BE55E7">
        <w:t>Таблица</w:t>
      </w:r>
      <w:r w:rsidRPr="00A351A3">
        <w:t xml:space="preserve"> № </w:t>
      </w:r>
      <w:r w:rsidR="00FD759D">
        <w:t>4</w:t>
      </w:r>
      <w:r w:rsidRPr="00A351A3">
        <w:t xml:space="preserve"> (тыс. руб.)</w:t>
      </w:r>
      <w:r w:rsidRPr="00A351A3">
        <w:rPr>
          <w:rFonts w:eastAsia="SimSun"/>
        </w:rPr>
        <w:t xml:space="preserve">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993"/>
        <w:gridCol w:w="992"/>
        <w:gridCol w:w="709"/>
        <w:gridCol w:w="992"/>
        <w:gridCol w:w="709"/>
        <w:gridCol w:w="992"/>
        <w:gridCol w:w="850"/>
      </w:tblGrid>
      <w:tr w:rsidR="00D80372" w:rsidRPr="00F724C0" w14:paraId="25DA252C" w14:textId="77777777" w:rsidTr="000C5254">
        <w:tc>
          <w:tcPr>
            <w:tcW w:w="2694" w:type="dxa"/>
          </w:tcPr>
          <w:p w14:paraId="72556184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14:paraId="508B0BC0" w14:textId="77777777" w:rsidR="00D80372" w:rsidRPr="00F724C0" w:rsidRDefault="00D80372" w:rsidP="000C5254">
            <w:pPr>
              <w:autoSpaceDE w:val="0"/>
              <w:autoSpaceDN w:val="0"/>
              <w:adjustRightInd w:val="0"/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</w:tcPr>
          <w:p w14:paraId="014E95E7" w14:textId="316CBCE2"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Ожидаемое </w:t>
            </w:r>
            <w:r w:rsidR="00A17204">
              <w:rPr>
                <w:rFonts w:cs="Arial CYR"/>
                <w:sz w:val="20"/>
                <w:szCs w:val="20"/>
              </w:rPr>
              <w:t>202</w:t>
            </w:r>
            <w:r w:rsidR="00453574">
              <w:rPr>
                <w:rFonts w:cs="Arial CYR"/>
                <w:sz w:val="20"/>
                <w:szCs w:val="20"/>
              </w:rPr>
              <w:t>3</w:t>
            </w:r>
            <w:r w:rsidRPr="00BE0D5B">
              <w:rPr>
                <w:rFonts w:cs="Arial CYR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14:paraId="3ED96788" w14:textId="3FC79108"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Прогноз </w:t>
            </w:r>
            <w:r w:rsidR="000E76FA">
              <w:rPr>
                <w:rFonts w:cs="Arial CYR"/>
                <w:sz w:val="20"/>
                <w:szCs w:val="20"/>
              </w:rPr>
              <w:t>202</w:t>
            </w:r>
            <w:r w:rsidR="00453574">
              <w:rPr>
                <w:rFonts w:cs="Arial CYR"/>
                <w:sz w:val="20"/>
                <w:szCs w:val="20"/>
              </w:rPr>
              <w:t>4</w:t>
            </w:r>
            <w:r w:rsidR="00FD759D">
              <w:rPr>
                <w:rFonts w:cs="Arial CYR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14:paraId="3565911E" w14:textId="49A51516" w:rsidR="00D80372" w:rsidRPr="00BE0D5B" w:rsidRDefault="000E76FA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202</w:t>
            </w:r>
            <w:r w:rsidR="00453574">
              <w:rPr>
                <w:rFonts w:cs="Arial CYR"/>
                <w:sz w:val="20"/>
                <w:szCs w:val="20"/>
              </w:rPr>
              <w:t>4</w:t>
            </w:r>
            <w:r w:rsidR="00D80372" w:rsidRPr="00BE0D5B">
              <w:rPr>
                <w:rFonts w:cs="Arial CYR"/>
                <w:sz w:val="20"/>
                <w:szCs w:val="20"/>
              </w:rPr>
              <w:t xml:space="preserve">г к </w:t>
            </w:r>
            <w:r w:rsidR="00D80372">
              <w:rPr>
                <w:rFonts w:cs="Arial CYR"/>
                <w:sz w:val="20"/>
                <w:szCs w:val="20"/>
              </w:rPr>
              <w:lastRenderedPageBreak/>
              <w:t>202</w:t>
            </w:r>
            <w:r w:rsidR="00453574">
              <w:rPr>
                <w:rFonts w:cs="Arial CYR"/>
                <w:sz w:val="20"/>
                <w:szCs w:val="20"/>
              </w:rPr>
              <w:t>3</w:t>
            </w:r>
            <w:r w:rsidR="00D80372" w:rsidRPr="00BE0D5B">
              <w:rPr>
                <w:rFonts w:cs="Arial CYR"/>
                <w:sz w:val="20"/>
                <w:szCs w:val="20"/>
              </w:rPr>
              <w:t>г %</w:t>
            </w:r>
          </w:p>
        </w:tc>
        <w:tc>
          <w:tcPr>
            <w:tcW w:w="992" w:type="dxa"/>
          </w:tcPr>
          <w:p w14:paraId="147D007F" w14:textId="78684831" w:rsidR="00D80372" w:rsidRPr="00BE0D5B" w:rsidRDefault="00D80372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lastRenderedPageBreak/>
              <w:t xml:space="preserve">Прогноз </w:t>
            </w:r>
            <w:r w:rsidR="000E76FA">
              <w:rPr>
                <w:rFonts w:cs="Arial CYR"/>
                <w:sz w:val="20"/>
                <w:szCs w:val="20"/>
              </w:rPr>
              <w:t>20</w:t>
            </w:r>
            <w:r w:rsidR="00453574">
              <w:rPr>
                <w:rFonts w:cs="Arial CYR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1A88BE63" w14:textId="6FFCBCD8" w:rsidR="00D80372" w:rsidRPr="00BE0D5B" w:rsidRDefault="000E76FA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202</w:t>
            </w:r>
            <w:r w:rsidR="00453574">
              <w:rPr>
                <w:rFonts w:cs="Arial CYR"/>
                <w:sz w:val="20"/>
                <w:szCs w:val="20"/>
              </w:rPr>
              <w:t>5</w:t>
            </w:r>
            <w:r w:rsidR="00D80372" w:rsidRPr="00BE0D5B">
              <w:rPr>
                <w:rFonts w:cs="Arial CYR"/>
                <w:sz w:val="20"/>
                <w:szCs w:val="20"/>
              </w:rPr>
              <w:t xml:space="preserve">г к </w:t>
            </w:r>
            <w:r>
              <w:rPr>
                <w:rFonts w:cs="Arial CYR"/>
                <w:sz w:val="20"/>
                <w:szCs w:val="20"/>
              </w:rPr>
              <w:lastRenderedPageBreak/>
              <w:t>202</w:t>
            </w:r>
            <w:r w:rsidR="00453574">
              <w:rPr>
                <w:rFonts w:cs="Arial CYR"/>
                <w:sz w:val="20"/>
                <w:szCs w:val="20"/>
              </w:rPr>
              <w:t>4</w:t>
            </w:r>
            <w:r w:rsidR="00D80372" w:rsidRPr="00BE0D5B">
              <w:rPr>
                <w:rFonts w:cs="Arial CYR"/>
                <w:sz w:val="20"/>
                <w:szCs w:val="20"/>
              </w:rPr>
              <w:t>г %</w:t>
            </w:r>
          </w:p>
        </w:tc>
        <w:tc>
          <w:tcPr>
            <w:tcW w:w="992" w:type="dxa"/>
          </w:tcPr>
          <w:p w14:paraId="0AFCA2ED" w14:textId="731074A4"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lastRenderedPageBreak/>
              <w:t xml:space="preserve">Прогноз </w:t>
            </w:r>
            <w:r w:rsidR="000E76FA">
              <w:rPr>
                <w:rFonts w:cs="Arial CYR"/>
                <w:sz w:val="20"/>
                <w:szCs w:val="20"/>
              </w:rPr>
              <w:t>20</w:t>
            </w:r>
            <w:r w:rsidR="00453574">
              <w:rPr>
                <w:rFonts w:cs="Arial CYR"/>
                <w:sz w:val="20"/>
                <w:szCs w:val="20"/>
              </w:rPr>
              <w:t>26</w:t>
            </w:r>
            <w:r w:rsidR="00FD759D">
              <w:rPr>
                <w:rFonts w:cs="Arial CYR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14:paraId="1903121A" w14:textId="48C3E793" w:rsidR="00D80372" w:rsidRPr="00BE0D5B" w:rsidRDefault="000E76FA" w:rsidP="00A17204">
            <w:pPr>
              <w:autoSpaceDE w:val="0"/>
              <w:autoSpaceDN w:val="0"/>
              <w:adjustRightInd w:val="0"/>
              <w:ind w:left="-60" w:right="-108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202</w:t>
            </w:r>
            <w:r w:rsidR="00453574">
              <w:rPr>
                <w:rFonts w:cs="Arial CYR"/>
                <w:sz w:val="20"/>
                <w:szCs w:val="20"/>
              </w:rPr>
              <w:t>6</w:t>
            </w:r>
            <w:r w:rsidR="00FC3E4F">
              <w:rPr>
                <w:rFonts w:cs="Arial CYR"/>
                <w:sz w:val="20"/>
                <w:szCs w:val="20"/>
              </w:rPr>
              <w:t xml:space="preserve">г. к </w:t>
            </w:r>
            <w:r>
              <w:rPr>
                <w:rFonts w:cs="Arial CYR"/>
                <w:sz w:val="20"/>
                <w:szCs w:val="20"/>
              </w:rPr>
              <w:t>202</w:t>
            </w:r>
            <w:r w:rsidR="00453574">
              <w:rPr>
                <w:rFonts w:cs="Arial CYR"/>
                <w:sz w:val="20"/>
                <w:szCs w:val="20"/>
              </w:rPr>
              <w:t>5</w:t>
            </w:r>
            <w:r w:rsidR="00D80372" w:rsidRPr="00BE0D5B">
              <w:rPr>
                <w:rFonts w:cs="Arial CYR"/>
                <w:sz w:val="20"/>
                <w:szCs w:val="20"/>
              </w:rPr>
              <w:t>г.</w:t>
            </w:r>
            <w:r w:rsidR="00D80372">
              <w:rPr>
                <w:rFonts w:cs="Arial CYR"/>
                <w:sz w:val="20"/>
                <w:szCs w:val="20"/>
              </w:rPr>
              <w:t xml:space="preserve"> </w:t>
            </w:r>
            <w:r w:rsidR="00D80372" w:rsidRPr="00BE0D5B">
              <w:rPr>
                <w:rFonts w:cs="Arial CYR"/>
                <w:sz w:val="20"/>
                <w:szCs w:val="20"/>
              </w:rPr>
              <w:t>%</w:t>
            </w:r>
          </w:p>
        </w:tc>
      </w:tr>
      <w:tr w:rsidR="00D80372" w:rsidRPr="005639BE" w14:paraId="7A660FD0" w14:textId="77777777" w:rsidTr="000C5254">
        <w:tc>
          <w:tcPr>
            <w:tcW w:w="2694" w:type="dxa"/>
          </w:tcPr>
          <w:p w14:paraId="3CD0C587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F724C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14:paraId="30369CE4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4C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14:paraId="3A2DB04B" w14:textId="7EE7B2D8" w:rsidR="00D80372" w:rsidRPr="002F6823" w:rsidRDefault="00074F9C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7204,7</w:t>
            </w:r>
          </w:p>
        </w:tc>
        <w:tc>
          <w:tcPr>
            <w:tcW w:w="992" w:type="dxa"/>
          </w:tcPr>
          <w:p w14:paraId="05D10272" w14:textId="3D83EB6E" w:rsidR="00D80372" w:rsidRPr="00F724C0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5347,7</w:t>
            </w:r>
          </w:p>
        </w:tc>
        <w:tc>
          <w:tcPr>
            <w:tcW w:w="709" w:type="dxa"/>
          </w:tcPr>
          <w:p w14:paraId="3E5770AF" w14:textId="1AF3D6CB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14:paraId="3B8AB5ED" w14:textId="6D05DBD9" w:rsidR="00173E2C" w:rsidRPr="00C91068" w:rsidRDefault="00173E2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4366,1</w:t>
            </w:r>
          </w:p>
        </w:tc>
        <w:tc>
          <w:tcPr>
            <w:tcW w:w="709" w:type="dxa"/>
          </w:tcPr>
          <w:p w14:paraId="53722275" w14:textId="0A6A18DE" w:rsidR="00D80372" w:rsidRPr="00B20ABB" w:rsidRDefault="00520FA2" w:rsidP="000C52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  <w:tc>
          <w:tcPr>
            <w:tcW w:w="992" w:type="dxa"/>
          </w:tcPr>
          <w:p w14:paraId="5CA0C8C8" w14:textId="24A7DA2D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4187,4</w:t>
            </w:r>
          </w:p>
        </w:tc>
        <w:tc>
          <w:tcPr>
            <w:tcW w:w="850" w:type="dxa"/>
          </w:tcPr>
          <w:p w14:paraId="1F43782D" w14:textId="23F7608A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</w:tr>
      <w:tr w:rsidR="00D80372" w:rsidRPr="005639BE" w14:paraId="55E551E4" w14:textId="77777777" w:rsidTr="000C5254">
        <w:tc>
          <w:tcPr>
            <w:tcW w:w="2694" w:type="dxa"/>
          </w:tcPr>
          <w:p w14:paraId="3879AAFB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08" w:type="dxa"/>
          </w:tcPr>
          <w:p w14:paraId="2EA121F2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14:paraId="76A014AE" w14:textId="46749B13" w:rsidR="00D80372" w:rsidRPr="002F6823" w:rsidRDefault="007264F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1377,4</w:t>
            </w:r>
          </w:p>
        </w:tc>
        <w:tc>
          <w:tcPr>
            <w:tcW w:w="992" w:type="dxa"/>
          </w:tcPr>
          <w:p w14:paraId="76465A42" w14:textId="771076E3" w:rsidR="00D80372" w:rsidRPr="00F724C0" w:rsidRDefault="00D32C6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1165,2</w:t>
            </w:r>
          </w:p>
        </w:tc>
        <w:tc>
          <w:tcPr>
            <w:tcW w:w="709" w:type="dxa"/>
          </w:tcPr>
          <w:p w14:paraId="04018A58" w14:textId="013177CD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14:paraId="4A2508E4" w14:textId="683B8784" w:rsidR="00D80372" w:rsidRPr="00F724C0" w:rsidRDefault="00173E2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1128,1</w:t>
            </w:r>
          </w:p>
        </w:tc>
        <w:tc>
          <w:tcPr>
            <w:tcW w:w="709" w:type="dxa"/>
          </w:tcPr>
          <w:p w14:paraId="09D2F224" w14:textId="16D4D593" w:rsidR="00D80372" w:rsidRPr="00B20ABB" w:rsidRDefault="00520F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14:paraId="7CA00459" w14:textId="35BBDC06" w:rsidR="00D80372" w:rsidRPr="00F724C0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1128,1</w:t>
            </w:r>
          </w:p>
        </w:tc>
        <w:tc>
          <w:tcPr>
            <w:tcW w:w="850" w:type="dxa"/>
          </w:tcPr>
          <w:p w14:paraId="21D3D028" w14:textId="37C4C46B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584AA7B2" w14:textId="77777777" w:rsidTr="000C5254">
        <w:tc>
          <w:tcPr>
            <w:tcW w:w="2694" w:type="dxa"/>
          </w:tcPr>
          <w:p w14:paraId="59837CFB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708" w:type="dxa"/>
          </w:tcPr>
          <w:p w14:paraId="245E8B44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14:paraId="5A1180A0" w14:textId="7132ED4B" w:rsidR="00D80372" w:rsidRPr="002F6823" w:rsidRDefault="007264F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5816,6</w:t>
            </w:r>
          </w:p>
        </w:tc>
        <w:tc>
          <w:tcPr>
            <w:tcW w:w="992" w:type="dxa"/>
          </w:tcPr>
          <w:p w14:paraId="6C805A8E" w14:textId="624DF611" w:rsidR="00D80372" w:rsidRPr="00F724C0" w:rsidRDefault="00D32C6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4171,8</w:t>
            </w:r>
          </w:p>
        </w:tc>
        <w:tc>
          <w:tcPr>
            <w:tcW w:w="709" w:type="dxa"/>
          </w:tcPr>
          <w:p w14:paraId="131EF106" w14:textId="245D8E4E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14:paraId="25113B56" w14:textId="391FE800" w:rsidR="00D80372" w:rsidRPr="00F724C0" w:rsidRDefault="00173E2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3227,3</w:t>
            </w:r>
          </w:p>
        </w:tc>
        <w:tc>
          <w:tcPr>
            <w:tcW w:w="709" w:type="dxa"/>
          </w:tcPr>
          <w:p w14:paraId="211E2903" w14:textId="03EACF4B" w:rsidR="00D80372" w:rsidRPr="00B20ABB" w:rsidRDefault="00520F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</w:tcPr>
          <w:p w14:paraId="1D18189B" w14:textId="6B590EC9" w:rsidR="00D80372" w:rsidRPr="00F724C0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3048,6</w:t>
            </w:r>
          </w:p>
        </w:tc>
        <w:tc>
          <w:tcPr>
            <w:tcW w:w="850" w:type="dxa"/>
          </w:tcPr>
          <w:p w14:paraId="4074B4D8" w14:textId="167BA614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D80372" w:rsidRPr="005639BE" w14:paraId="101C6293" w14:textId="77777777" w:rsidTr="000C5254">
        <w:tc>
          <w:tcPr>
            <w:tcW w:w="2694" w:type="dxa"/>
          </w:tcPr>
          <w:p w14:paraId="5CDB0A08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</w:tcPr>
          <w:p w14:paraId="5A1CC96B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14:paraId="1D67F905" w14:textId="568EFD18" w:rsidR="00D80372" w:rsidRPr="002F6823" w:rsidRDefault="00074F9C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8C904EA" w14:textId="00A63EBE" w:rsidR="00D80372" w:rsidRPr="00F724C0" w:rsidRDefault="00D32C6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2CE6585" w14:textId="7C80C91F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31950FF" w14:textId="5865BB23" w:rsidR="00D80372" w:rsidRPr="00F724C0" w:rsidRDefault="00173E2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D450A85" w14:textId="72553518" w:rsidR="00D80372" w:rsidRPr="00B20ABB" w:rsidRDefault="00520F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CB17FE2" w14:textId="59652B6B" w:rsidR="00D80372" w:rsidRPr="00F724C0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083ECB2" w14:textId="0D9826D2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2CA79FDA" w14:textId="77777777" w:rsidTr="000C5254">
        <w:tc>
          <w:tcPr>
            <w:tcW w:w="2694" w:type="dxa"/>
          </w:tcPr>
          <w:p w14:paraId="2BFE6943" w14:textId="77777777"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Др. </w:t>
            </w:r>
            <w:proofErr w:type="spellStart"/>
            <w:r>
              <w:rPr>
                <w:sz w:val="20"/>
                <w:szCs w:val="20"/>
              </w:rPr>
              <w:t>общегосударст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724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</w:tcPr>
          <w:p w14:paraId="5A18EA3B" w14:textId="77777777"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14:paraId="08DED0CC" w14:textId="7942B406" w:rsidR="00D80372" w:rsidRPr="002F6823" w:rsidRDefault="00074F9C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14:paraId="66FCE325" w14:textId="17298392" w:rsidR="00D80372" w:rsidRPr="00F724C0" w:rsidRDefault="00D32C6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14:paraId="0EA2F5C2" w14:textId="4254D65D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CBADBDC" w14:textId="054D2770" w:rsidR="00D80372" w:rsidRPr="00F724C0" w:rsidRDefault="00173E2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14:paraId="47914C3B" w14:textId="558FA8B6" w:rsidR="00D80372" w:rsidRPr="00B20ABB" w:rsidRDefault="00520FA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C264DF3" w14:textId="06E42597" w:rsidR="00D80372" w:rsidRPr="00F724C0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14:paraId="548926F0" w14:textId="0DAEA077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65B3FCC6" w14:textId="77777777" w:rsidTr="000C5254">
        <w:tc>
          <w:tcPr>
            <w:tcW w:w="2694" w:type="dxa"/>
          </w:tcPr>
          <w:p w14:paraId="35AC3FCB" w14:textId="77777777" w:rsidR="00D80372" w:rsidRPr="0012347A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12347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</w:tcPr>
          <w:p w14:paraId="2C18212B" w14:textId="77777777" w:rsidR="00D80372" w:rsidRPr="0012347A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47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14:paraId="34BD40F8" w14:textId="183A1732" w:rsidR="00D80372" w:rsidRPr="0012347A" w:rsidRDefault="00074F9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173,7</w:t>
            </w:r>
          </w:p>
        </w:tc>
        <w:tc>
          <w:tcPr>
            <w:tcW w:w="992" w:type="dxa"/>
          </w:tcPr>
          <w:p w14:paraId="5B723578" w14:textId="45444EDD" w:rsidR="00D80372" w:rsidRPr="0012347A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709" w:type="dxa"/>
          </w:tcPr>
          <w:p w14:paraId="477A3275" w14:textId="7A5CD600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105,2</w:t>
            </w:r>
          </w:p>
        </w:tc>
        <w:tc>
          <w:tcPr>
            <w:tcW w:w="992" w:type="dxa"/>
          </w:tcPr>
          <w:p w14:paraId="35EE81A1" w14:textId="4F9613C8" w:rsidR="00D80372" w:rsidRPr="00C91068" w:rsidRDefault="00173E2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709" w:type="dxa"/>
          </w:tcPr>
          <w:p w14:paraId="19EFD023" w14:textId="23FF27A2" w:rsidR="00D80372" w:rsidRPr="00B20ABB" w:rsidRDefault="00520F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14:paraId="20108F9B" w14:textId="5669BCD9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61EC53" w14:textId="7F4EA9C0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80372" w:rsidRPr="005639BE" w14:paraId="2F0436E7" w14:textId="77777777" w:rsidTr="000C5254">
        <w:tc>
          <w:tcPr>
            <w:tcW w:w="2694" w:type="dxa"/>
          </w:tcPr>
          <w:p w14:paraId="44F522DA" w14:textId="77777777" w:rsidR="00D80372" w:rsidRPr="008630BD" w:rsidRDefault="00D80372" w:rsidP="000C5254">
            <w:pPr>
              <w:autoSpaceDE w:val="0"/>
              <w:autoSpaceDN w:val="0"/>
              <w:adjustRightInd w:val="0"/>
              <w:ind w:right="-154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14:paraId="0B46E6C1" w14:textId="77777777"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14:paraId="3A0F409F" w14:textId="0263C0BD" w:rsidR="00D80372" w:rsidRPr="008630BD" w:rsidRDefault="00074F9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762EEAAD" w14:textId="4D5F0F3B" w:rsidR="00D80372" w:rsidRPr="008630BD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00EDE3AA" w14:textId="55BB7918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143AB21" w14:textId="330735F0" w:rsidR="00D80372" w:rsidRPr="00C91068" w:rsidRDefault="00173E2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5C08D792" w14:textId="71A3EA1A" w:rsidR="00D80372" w:rsidRPr="00B20ABB" w:rsidRDefault="00520F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14:paraId="5A42E563" w14:textId="66041C05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5366EFA4" w14:textId="7DDF51F8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78961FF1" w14:textId="77777777" w:rsidTr="000C5254">
        <w:tc>
          <w:tcPr>
            <w:tcW w:w="2694" w:type="dxa"/>
          </w:tcPr>
          <w:p w14:paraId="4FBB0AF7" w14:textId="77777777"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</w:tcPr>
          <w:p w14:paraId="55A097C5" w14:textId="77777777"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14:paraId="0CEB4BF1" w14:textId="439D34CD" w:rsidR="00D80372" w:rsidRPr="002F6823" w:rsidRDefault="00074F9C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2201,4</w:t>
            </w:r>
          </w:p>
        </w:tc>
        <w:tc>
          <w:tcPr>
            <w:tcW w:w="992" w:type="dxa"/>
          </w:tcPr>
          <w:p w14:paraId="39CD1B31" w14:textId="42EE02D4" w:rsidR="00D80372" w:rsidRPr="008630BD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1538,9</w:t>
            </w:r>
          </w:p>
        </w:tc>
        <w:tc>
          <w:tcPr>
            <w:tcW w:w="709" w:type="dxa"/>
          </w:tcPr>
          <w:p w14:paraId="0C98FAF3" w14:textId="70F192A2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14:paraId="63DFEF14" w14:textId="1C3865D6" w:rsidR="00D80372" w:rsidRPr="00C91068" w:rsidRDefault="00173E2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1583,6</w:t>
            </w:r>
          </w:p>
        </w:tc>
        <w:tc>
          <w:tcPr>
            <w:tcW w:w="709" w:type="dxa"/>
          </w:tcPr>
          <w:p w14:paraId="20E3B1F4" w14:textId="3235FC1E" w:rsidR="00D80372" w:rsidRPr="00B20ABB" w:rsidRDefault="006E0B8D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14:paraId="5A2E8F64" w14:textId="4F98CAEB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1636,3</w:t>
            </w:r>
          </w:p>
        </w:tc>
        <w:tc>
          <w:tcPr>
            <w:tcW w:w="850" w:type="dxa"/>
          </w:tcPr>
          <w:p w14:paraId="473FE08B" w14:textId="1FD0C6F1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</w:p>
        </w:tc>
      </w:tr>
      <w:tr w:rsidR="00D80372" w:rsidRPr="005639BE" w14:paraId="609C1716" w14:textId="77777777" w:rsidTr="000C5254">
        <w:tc>
          <w:tcPr>
            <w:tcW w:w="2694" w:type="dxa"/>
          </w:tcPr>
          <w:p w14:paraId="32544C86" w14:textId="77777777"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</w:tcPr>
          <w:p w14:paraId="670880C7" w14:textId="77777777"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993" w:type="dxa"/>
          </w:tcPr>
          <w:p w14:paraId="4C4132CD" w14:textId="6339CEEE" w:rsidR="00D80372" w:rsidRPr="002F6823" w:rsidRDefault="00074F9C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14:paraId="7C46BA83" w14:textId="28B623B3" w:rsidR="00D80372" w:rsidRPr="008630BD" w:rsidRDefault="00D32C6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709" w:type="dxa"/>
          </w:tcPr>
          <w:p w14:paraId="406E1DD7" w14:textId="3F88A15A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92" w:type="dxa"/>
          </w:tcPr>
          <w:p w14:paraId="5B7B8A75" w14:textId="6F0467AB" w:rsidR="00D80372" w:rsidRPr="00C91068" w:rsidRDefault="00173E2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709" w:type="dxa"/>
          </w:tcPr>
          <w:p w14:paraId="2D7BA40A" w14:textId="2AD49381" w:rsidR="00D80372" w:rsidRPr="00B20ABB" w:rsidRDefault="006E0B8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B50DEEF" w14:textId="46F12B71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850" w:type="dxa"/>
          </w:tcPr>
          <w:p w14:paraId="688565B7" w14:textId="7D2CEC2F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14:paraId="795BAACF" w14:textId="77777777" w:rsidTr="000C5254">
        <w:tc>
          <w:tcPr>
            <w:tcW w:w="2694" w:type="dxa"/>
          </w:tcPr>
          <w:p w14:paraId="5F2E9FA0" w14:textId="77777777"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8630B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14:paraId="1AAEA7E7" w14:textId="77777777"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0BD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14:paraId="396BF62D" w14:textId="24C437A0" w:rsidR="00D80372" w:rsidRPr="002F6823" w:rsidRDefault="00074F9C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2136,4</w:t>
            </w:r>
          </w:p>
        </w:tc>
        <w:tc>
          <w:tcPr>
            <w:tcW w:w="992" w:type="dxa"/>
          </w:tcPr>
          <w:p w14:paraId="7DCFEB18" w14:textId="0DD02FDD" w:rsidR="00D80372" w:rsidRPr="008630BD" w:rsidRDefault="00D32C6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  <w:tc>
          <w:tcPr>
            <w:tcW w:w="709" w:type="dxa"/>
          </w:tcPr>
          <w:p w14:paraId="2C7AF440" w14:textId="3D633764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03F910E6" w14:textId="3780412C" w:rsidR="00D80372" w:rsidRPr="00C91068" w:rsidRDefault="00173E2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1517,8</w:t>
            </w:r>
          </w:p>
        </w:tc>
        <w:tc>
          <w:tcPr>
            <w:tcW w:w="709" w:type="dxa"/>
          </w:tcPr>
          <w:p w14:paraId="0509EC46" w14:textId="21DD5853" w:rsidR="00D80372" w:rsidRPr="00B20ABB" w:rsidRDefault="006E0B8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14:paraId="68B9ED0E" w14:textId="5C0AC522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1570,5</w:t>
            </w:r>
          </w:p>
        </w:tc>
        <w:tc>
          <w:tcPr>
            <w:tcW w:w="850" w:type="dxa"/>
          </w:tcPr>
          <w:p w14:paraId="3FC811B2" w14:textId="2C64BA58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D80372" w:rsidRPr="005639BE" w14:paraId="2B42F4FF" w14:textId="77777777" w:rsidTr="000C5254">
        <w:tc>
          <w:tcPr>
            <w:tcW w:w="2694" w:type="dxa"/>
          </w:tcPr>
          <w:p w14:paraId="05DA0826" w14:textId="77777777" w:rsidR="00D80372" w:rsidRPr="000F6998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0F699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14:paraId="18773D40" w14:textId="77777777" w:rsidR="00D80372" w:rsidRPr="000F6998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9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14:paraId="31757081" w14:textId="264D4DBE" w:rsidR="00D80372" w:rsidRPr="002F6823" w:rsidRDefault="00074F9C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2565</w:t>
            </w:r>
          </w:p>
        </w:tc>
        <w:tc>
          <w:tcPr>
            <w:tcW w:w="992" w:type="dxa"/>
          </w:tcPr>
          <w:p w14:paraId="0169DDCF" w14:textId="0C2369F0" w:rsidR="00D80372" w:rsidRPr="000F6998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2800,6</w:t>
            </w:r>
          </w:p>
        </w:tc>
        <w:tc>
          <w:tcPr>
            <w:tcW w:w="709" w:type="dxa"/>
          </w:tcPr>
          <w:p w14:paraId="556EF29D" w14:textId="60728B6F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109,2</w:t>
            </w:r>
          </w:p>
        </w:tc>
        <w:tc>
          <w:tcPr>
            <w:tcW w:w="992" w:type="dxa"/>
          </w:tcPr>
          <w:p w14:paraId="1C5E5585" w14:textId="203AFFB5" w:rsidR="00D80372" w:rsidRPr="00C91068" w:rsidRDefault="00173E2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600,7</w:t>
            </w:r>
          </w:p>
        </w:tc>
        <w:tc>
          <w:tcPr>
            <w:tcW w:w="709" w:type="dxa"/>
          </w:tcPr>
          <w:p w14:paraId="6A037E25" w14:textId="46FC6BA7" w:rsidR="00D80372" w:rsidRPr="00B20ABB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14:paraId="230B3F70" w14:textId="0F718D70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653,5</w:t>
            </w:r>
          </w:p>
        </w:tc>
        <w:tc>
          <w:tcPr>
            <w:tcW w:w="850" w:type="dxa"/>
          </w:tcPr>
          <w:p w14:paraId="018D780B" w14:textId="592E995B" w:rsidR="00D80372" w:rsidRPr="00A43466" w:rsidRDefault="00F84AD0" w:rsidP="00FD1AFC">
            <w:pPr>
              <w:autoSpaceDE w:val="0"/>
              <w:autoSpaceDN w:val="0"/>
              <w:adjustRightInd w:val="0"/>
              <w:ind w:left="-75" w:right="-1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108,8</w:t>
            </w:r>
          </w:p>
        </w:tc>
      </w:tr>
      <w:tr w:rsidR="00D80372" w:rsidRPr="005639BE" w14:paraId="712AAA4E" w14:textId="77777777" w:rsidTr="000C5254">
        <w:tc>
          <w:tcPr>
            <w:tcW w:w="2694" w:type="dxa"/>
          </w:tcPr>
          <w:p w14:paraId="42BD9A8D" w14:textId="77777777" w:rsidR="00D80372" w:rsidRPr="00C91068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C910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14:paraId="7EDEF63D" w14:textId="77777777" w:rsidR="00D80372" w:rsidRPr="00C91068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068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</w:tcPr>
          <w:p w14:paraId="4A99709B" w14:textId="326B9485" w:rsidR="00D80372" w:rsidRPr="00C91068" w:rsidRDefault="00074F9C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7B81BA41" w14:textId="5E4A230C" w:rsidR="00D80372" w:rsidRPr="00C91068" w:rsidRDefault="00D32C64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3AD3488C" w14:textId="52F5DFD9" w:rsidR="00D80372" w:rsidRPr="00C91068" w:rsidRDefault="00647887" w:rsidP="000C5254">
            <w:pPr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693034B" w14:textId="1BC8ED97" w:rsidR="00D80372" w:rsidRPr="00081F93" w:rsidRDefault="00173E2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709" w:type="dxa"/>
          </w:tcPr>
          <w:p w14:paraId="60F22551" w14:textId="02A537A9" w:rsidR="00D80372" w:rsidRPr="00B20ABB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448E82CC" w14:textId="1AAB279F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50" w:type="dxa"/>
          </w:tcPr>
          <w:p w14:paraId="2A3C94F1" w14:textId="1ECD8366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D80372" w:rsidRPr="005639BE" w14:paraId="39F56CD4" w14:textId="77777777" w:rsidTr="000C5254">
        <w:tc>
          <w:tcPr>
            <w:tcW w:w="2694" w:type="dxa"/>
          </w:tcPr>
          <w:p w14:paraId="0CD45A7D" w14:textId="77777777" w:rsidR="00D80372" w:rsidRPr="000F6998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0F69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14:paraId="49A03378" w14:textId="77777777" w:rsidR="00D80372" w:rsidRPr="000F6998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998"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14:paraId="21E35611" w14:textId="31E98FD4" w:rsidR="00D80372" w:rsidRPr="002F6823" w:rsidRDefault="00074F9C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992" w:type="dxa"/>
          </w:tcPr>
          <w:p w14:paraId="29698AFE" w14:textId="267E30C6" w:rsidR="00D80372" w:rsidRPr="000F6998" w:rsidRDefault="00D32C6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2755,6</w:t>
            </w:r>
          </w:p>
        </w:tc>
        <w:tc>
          <w:tcPr>
            <w:tcW w:w="709" w:type="dxa"/>
          </w:tcPr>
          <w:p w14:paraId="5105EA52" w14:textId="207DC807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109,4</w:t>
            </w:r>
          </w:p>
        </w:tc>
        <w:tc>
          <w:tcPr>
            <w:tcW w:w="992" w:type="dxa"/>
          </w:tcPr>
          <w:p w14:paraId="6AFB2088" w14:textId="68498444" w:rsidR="00D80372" w:rsidRPr="00081F93" w:rsidRDefault="00173E2C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  <w:tc>
          <w:tcPr>
            <w:tcW w:w="709" w:type="dxa"/>
          </w:tcPr>
          <w:p w14:paraId="3F1BEBF4" w14:textId="12B98245" w:rsidR="00D80372" w:rsidRPr="00B20ABB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14:paraId="2D37D4DF" w14:textId="7C84BF74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</w:t>
            </w:r>
          </w:p>
        </w:tc>
        <w:tc>
          <w:tcPr>
            <w:tcW w:w="850" w:type="dxa"/>
          </w:tcPr>
          <w:p w14:paraId="51EE31B2" w14:textId="3DC6B28D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D80372" w:rsidRPr="005639BE" w14:paraId="0DE981D3" w14:textId="77777777" w:rsidTr="000C5254">
        <w:tc>
          <w:tcPr>
            <w:tcW w:w="2694" w:type="dxa"/>
          </w:tcPr>
          <w:p w14:paraId="175CE1D3" w14:textId="77777777" w:rsidR="00D80372" w:rsidRPr="00F41766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F4176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</w:tcPr>
          <w:p w14:paraId="61502934" w14:textId="77777777" w:rsidR="00D80372" w:rsidRPr="00F41766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14:paraId="5B4989A7" w14:textId="69BFD0BF" w:rsidR="00D80372" w:rsidRPr="00F41766" w:rsidRDefault="00074F9C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F32BCBC" w14:textId="38C15A2A" w:rsidR="00D80372" w:rsidRPr="00F41766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487F55CF" w14:textId="7F4C7A48" w:rsidR="00D80372" w:rsidRPr="00F41766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3,4р.</w:t>
            </w:r>
          </w:p>
        </w:tc>
        <w:tc>
          <w:tcPr>
            <w:tcW w:w="992" w:type="dxa"/>
          </w:tcPr>
          <w:p w14:paraId="580BB40C" w14:textId="01743017" w:rsidR="00D80372" w:rsidRPr="00F41766" w:rsidRDefault="00173E2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540725FF" w14:textId="60614FAB" w:rsidR="00D80372" w:rsidRPr="00F417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1498838" w14:textId="7E749249" w:rsidR="00D80372" w:rsidRPr="00F417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6CFBAB5A" w14:textId="73D900D1" w:rsidR="00D80372" w:rsidRPr="00F41766" w:rsidRDefault="00F84AD0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2BAF33E2" w14:textId="77777777" w:rsidTr="000C5254">
        <w:tc>
          <w:tcPr>
            <w:tcW w:w="2694" w:type="dxa"/>
          </w:tcPr>
          <w:p w14:paraId="5226454E" w14:textId="77777777" w:rsidR="00D80372" w:rsidRPr="000E2DED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0E2DED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</w:tcPr>
          <w:p w14:paraId="213DB062" w14:textId="77777777" w:rsidR="00D80372" w:rsidRPr="000E2DE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DE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14:paraId="56A45A6B" w14:textId="2B93C534" w:rsidR="00D80372" w:rsidRPr="002F6823" w:rsidRDefault="00074F9C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8602</w:t>
            </w:r>
          </w:p>
        </w:tc>
        <w:tc>
          <w:tcPr>
            <w:tcW w:w="992" w:type="dxa"/>
          </w:tcPr>
          <w:p w14:paraId="7A2DAB43" w14:textId="47418D2C" w:rsidR="00D80372" w:rsidRPr="000E2DED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5580</w:t>
            </w:r>
          </w:p>
        </w:tc>
        <w:tc>
          <w:tcPr>
            <w:tcW w:w="709" w:type="dxa"/>
          </w:tcPr>
          <w:p w14:paraId="451014DD" w14:textId="21B56E34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14:paraId="14FD2EF1" w14:textId="4BAB2074" w:rsidR="00D80372" w:rsidRPr="00081F93" w:rsidRDefault="00173E2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4408,4</w:t>
            </w:r>
          </w:p>
        </w:tc>
        <w:tc>
          <w:tcPr>
            <w:tcW w:w="709" w:type="dxa"/>
          </w:tcPr>
          <w:p w14:paraId="4FFE800F" w14:textId="24543A19" w:rsidR="00D80372" w:rsidRPr="00B20ABB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14:paraId="7183953D" w14:textId="1543745C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5097</w:t>
            </w:r>
          </w:p>
        </w:tc>
        <w:tc>
          <w:tcPr>
            <w:tcW w:w="850" w:type="dxa"/>
          </w:tcPr>
          <w:p w14:paraId="60014489" w14:textId="4379A784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115,6</w:t>
            </w:r>
          </w:p>
        </w:tc>
      </w:tr>
      <w:tr w:rsidR="00D80372" w:rsidRPr="005639BE" w14:paraId="67F4C91D" w14:textId="77777777" w:rsidTr="000C5254">
        <w:tc>
          <w:tcPr>
            <w:tcW w:w="2694" w:type="dxa"/>
          </w:tcPr>
          <w:p w14:paraId="7B661F18" w14:textId="77777777" w:rsidR="00D80372" w:rsidRPr="000E2DED" w:rsidRDefault="00D80372" w:rsidP="000C5254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</w:tcPr>
          <w:p w14:paraId="17C3CC30" w14:textId="77777777" w:rsidR="00D80372" w:rsidRPr="000E2DE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4D7D19A4" w14:textId="48C9DD9E" w:rsidR="00D80372" w:rsidRDefault="00074F9C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992" w:type="dxa"/>
          </w:tcPr>
          <w:p w14:paraId="534D7800" w14:textId="46950EEC" w:rsidR="00D80372" w:rsidRPr="000E2DED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14:paraId="5E018685" w14:textId="7D05F0F9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14:paraId="7B927314" w14:textId="64C15C47" w:rsidR="00D80372" w:rsidRPr="00081F93" w:rsidRDefault="00173E2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14:paraId="3C55D382" w14:textId="2DC4797E" w:rsidR="00D80372" w:rsidRPr="00B20ABB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85,6</w:t>
            </w:r>
          </w:p>
        </w:tc>
        <w:tc>
          <w:tcPr>
            <w:tcW w:w="992" w:type="dxa"/>
          </w:tcPr>
          <w:p w14:paraId="439FE4D7" w14:textId="3B2C308D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850" w:type="dxa"/>
          </w:tcPr>
          <w:p w14:paraId="681AD1F0" w14:textId="65D05EC4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17A39887" w14:textId="77777777" w:rsidTr="000C5254">
        <w:tc>
          <w:tcPr>
            <w:tcW w:w="2694" w:type="dxa"/>
          </w:tcPr>
          <w:p w14:paraId="34D45113" w14:textId="77777777" w:rsidR="00D80372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Физич</w:t>
            </w:r>
            <w:proofErr w:type="spellEnd"/>
            <w:r>
              <w:rPr>
                <w:b/>
                <w:sz w:val="20"/>
                <w:szCs w:val="20"/>
              </w:rPr>
              <w:t>. культура и спорт</w:t>
            </w:r>
          </w:p>
        </w:tc>
        <w:tc>
          <w:tcPr>
            <w:tcW w:w="708" w:type="dxa"/>
          </w:tcPr>
          <w:p w14:paraId="50372330" w14:textId="77777777" w:rsidR="00D80372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14:paraId="6E4DC7BE" w14:textId="0347D3C3" w:rsidR="00D80372" w:rsidRDefault="00074F9C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8F4C606" w14:textId="09BF0E24" w:rsidR="00D80372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14:paraId="215DB3B7" w14:textId="38494C81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8,6р.</w:t>
            </w:r>
          </w:p>
        </w:tc>
        <w:tc>
          <w:tcPr>
            <w:tcW w:w="992" w:type="dxa"/>
          </w:tcPr>
          <w:p w14:paraId="22C43DA9" w14:textId="02D50639" w:rsidR="00D80372" w:rsidRPr="00081F93" w:rsidRDefault="00520F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5D7E4F7D" w14:textId="58898948" w:rsidR="00D80372" w:rsidRPr="00B20ABB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127,9</w:t>
            </w:r>
          </w:p>
        </w:tc>
        <w:tc>
          <w:tcPr>
            <w:tcW w:w="992" w:type="dxa"/>
          </w:tcPr>
          <w:p w14:paraId="51BC591B" w14:textId="64BA2E47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14:paraId="41B353D3" w14:textId="7F68ABFA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14:paraId="2AF1F6DF" w14:textId="77777777" w:rsidTr="000C5254">
        <w:trPr>
          <w:trHeight w:val="51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A1F2278" w14:textId="77777777" w:rsidR="00D80372" w:rsidRPr="003165B8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3165B8">
              <w:rPr>
                <w:b/>
                <w:sz w:val="20"/>
                <w:szCs w:val="20"/>
              </w:rPr>
              <w:t xml:space="preserve">Межбюджетные трансферты бюджетам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77A54FA" w14:textId="77777777" w:rsidR="00D80372" w:rsidRPr="003165B8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5B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1AA634" w14:textId="21B83868" w:rsidR="00D80372" w:rsidRPr="002F6823" w:rsidRDefault="00074F9C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66F93F" w14:textId="7ABBF672" w:rsidR="00D80372" w:rsidRPr="003165B8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74D65C" w14:textId="5CE4D930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502D2F" w14:textId="7C140D43" w:rsidR="00D80372" w:rsidRPr="00081F93" w:rsidRDefault="00520FA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E252E4" w14:textId="513C6556" w:rsidR="00D80372" w:rsidRPr="00B20ABB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92F315" w14:textId="558E508E" w:rsidR="00D80372" w:rsidRPr="00A43466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844904" w14:textId="6D9A9AAA" w:rsidR="00D80372" w:rsidRPr="00A43466" w:rsidRDefault="00F84AD0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80372" w:rsidRPr="005639BE" w14:paraId="4949B77B" w14:textId="77777777" w:rsidTr="000C5254">
        <w:tc>
          <w:tcPr>
            <w:tcW w:w="2694" w:type="dxa"/>
          </w:tcPr>
          <w:p w14:paraId="1F988961" w14:textId="77777777" w:rsidR="00D80372" w:rsidRPr="00C80599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C805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39DB02D7" w14:textId="77777777" w:rsidR="00D80372" w:rsidRPr="00C80599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08B937" w14:textId="3DD85873" w:rsidR="00D80372" w:rsidRPr="00C80599" w:rsidRDefault="00074F9C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22001,1</w:t>
            </w:r>
          </w:p>
        </w:tc>
        <w:tc>
          <w:tcPr>
            <w:tcW w:w="992" w:type="dxa"/>
          </w:tcPr>
          <w:p w14:paraId="43B634EB" w14:textId="79081DC1" w:rsidR="00D80372" w:rsidRPr="00C80599" w:rsidRDefault="00D32C64" w:rsidP="000C5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16634,7</w:t>
            </w:r>
          </w:p>
        </w:tc>
        <w:tc>
          <w:tcPr>
            <w:tcW w:w="709" w:type="dxa"/>
          </w:tcPr>
          <w:p w14:paraId="4018EF37" w14:textId="479545A7" w:rsidR="00D80372" w:rsidRPr="00BE55E7" w:rsidRDefault="00647887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14:paraId="179DF4A3" w14:textId="2FCFE5BE" w:rsidR="00D80372" w:rsidRPr="00081F93" w:rsidRDefault="00D32C64" w:rsidP="000C5254">
            <w:pPr>
              <w:autoSpaceDE w:val="0"/>
              <w:autoSpaceDN w:val="0"/>
              <w:adjustRightInd w:val="0"/>
              <w:ind w:righ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12292,1</w:t>
            </w:r>
          </w:p>
        </w:tc>
        <w:tc>
          <w:tcPr>
            <w:tcW w:w="709" w:type="dxa"/>
          </w:tcPr>
          <w:p w14:paraId="21BEDB05" w14:textId="0E8771BD" w:rsidR="00D80372" w:rsidRPr="00B20ABB" w:rsidRDefault="005F5CF1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14:paraId="31E5256F" w14:textId="2D19DD1F" w:rsidR="00D80372" w:rsidRPr="008C05BD" w:rsidRDefault="00D32C6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11940,2</w:t>
            </w:r>
          </w:p>
        </w:tc>
        <w:tc>
          <w:tcPr>
            <w:tcW w:w="850" w:type="dxa"/>
          </w:tcPr>
          <w:p w14:paraId="3ED9EC44" w14:textId="2E2C1692" w:rsidR="00D80372" w:rsidRPr="00CB403F" w:rsidRDefault="00F84AD0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</w:tbl>
    <w:p w14:paraId="203B7441" w14:textId="6EE040A9" w:rsidR="003B7AA9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>По сравнению с ожидаемым исполнением 202</w:t>
      </w:r>
      <w:r w:rsidR="003B7AA9">
        <w:rPr>
          <w:rFonts w:eastAsia="SimSun"/>
        </w:rPr>
        <w:t>3</w:t>
      </w:r>
      <w:r>
        <w:rPr>
          <w:rFonts w:eastAsia="SimSun"/>
        </w:rPr>
        <w:t xml:space="preserve"> года проектом бюджета на </w:t>
      </w:r>
      <w:r w:rsidR="000E76FA">
        <w:rPr>
          <w:rFonts w:eastAsia="SimSun"/>
        </w:rPr>
        <w:t>202</w:t>
      </w:r>
      <w:r w:rsidR="003B7AA9">
        <w:rPr>
          <w:rFonts w:eastAsia="SimSun"/>
        </w:rPr>
        <w:t>4</w:t>
      </w:r>
      <w:r>
        <w:rPr>
          <w:rFonts w:eastAsia="SimSun"/>
        </w:rPr>
        <w:t xml:space="preserve"> год расходы предусматриваются в меньшем объеме на </w:t>
      </w:r>
      <w:r w:rsidR="009A580F">
        <w:rPr>
          <w:rFonts w:eastAsia="SimSun"/>
        </w:rPr>
        <w:t>5366,4 тыс. руб., или на 24,4%. Так, ожидаемое исполнение расходной части бюджета на 2023 год – 22001,1 тыс. руб., на 2024 год – 16634,7 тыс. руб.</w:t>
      </w:r>
    </w:p>
    <w:p w14:paraId="1BC1EAFD" w14:textId="03054075" w:rsidR="00D22078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>Сравнительный анализ бюджетных ассигнований на 202</w:t>
      </w:r>
      <w:r w:rsidR="009A580F">
        <w:rPr>
          <w:rFonts w:eastAsia="SimSun"/>
        </w:rPr>
        <w:t>3</w:t>
      </w:r>
      <w:r>
        <w:rPr>
          <w:rFonts w:eastAsia="SimSun"/>
        </w:rPr>
        <w:t>-</w:t>
      </w:r>
      <w:r w:rsidR="000E76FA">
        <w:rPr>
          <w:rFonts w:eastAsia="SimSun"/>
        </w:rPr>
        <w:t>202</w:t>
      </w:r>
      <w:r w:rsidR="009A580F">
        <w:rPr>
          <w:rFonts w:eastAsia="SimSun"/>
        </w:rPr>
        <w:t>4</w:t>
      </w:r>
      <w:r>
        <w:rPr>
          <w:rFonts w:eastAsia="SimSun"/>
        </w:rPr>
        <w:t>гг. в разрезе бюджетной классификации приведен на рисунке №</w:t>
      </w:r>
      <w:r w:rsidR="00421FC2">
        <w:rPr>
          <w:rFonts w:eastAsia="SimSun"/>
        </w:rPr>
        <w:t xml:space="preserve"> </w:t>
      </w:r>
      <w:r>
        <w:rPr>
          <w:rFonts w:eastAsia="SimSun"/>
        </w:rPr>
        <w:t>2.</w:t>
      </w:r>
    </w:p>
    <w:p w14:paraId="7960BB8E" w14:textId="77777777" w:rsidR="00D22078" w:rsidRDefault="00D22078" w:rsidP="00D2207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>
        <w:rPr>
          <w:rFonts w:eastAsia="SimSun"/>
        </w:rPr>
        <w:t>Рисунок № 2</w:t>
      </w:r>
    </w:p>
    <w:p w14:paraId="0F083A03" w14:textId="77777777" w:rsidR="00B01BC1" w:rsidRDefault="00B01BC1" w:rsidP="00EE7FF2">
      <w:pPr>
        <w:autoSpaceDE w:val="0"/>
        <w:autoSpaceDN w:val="0"/>
        <w:adjustRightInd w:val="0"/>
        <w:ind w:firstLine="257"/>
        <w:jc w:val="both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t>.</w:t>
      </w:r>
      <w:r w:rsidRPr="003C3612">
        <w:rPr>
          <w:rFonts w:eastAsia="SimSun"/>
        </w:rPr>
        <w:t xml:space="preserve"> </w:t>
      </w:r>
      <w:r w:rsidRPr="00D10103">
        <w:rPr>
          <w:noProof/>
        </w:rPr>
        <w:drawing>
          <wp:inline distT="0" distB="0" distL="0" distR="0" wp14:anchorId="0E1431AB" wp14:editId="686A1D51">
            <wp:extent cx="5591175" cy="3238500"/>
            <wp:effectExtent l="0" t="0" r="952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A64FA5" w14:textId="77777777" w:rsidR="00D22078" w:rsidRDefault="00D22078" w:rsidP="00D22078">
      <w:pPr>
        <w:autoSpaceDE w:val="0"/>
        <w:autoSpaceDN w:val="0"/>
        <w:adjustRightInd w:val="0"/>
        <w:ind w:left="-283" w:firstLine="540"/>
        <w:jc w:val="both"/>
        <w:rPr>
          <w:rFonts w:eastAsia="SimSun"/>
        </w:rPr>
      </w:pPr>
    </w:p>
    <w:p w14:paraId="0C4A3C85" w14:textId="6774CACA" w:rsidR="00D22078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3C3612">
        <w:lastRenderedPageBreak/>
        <w:t xml:space="preserve">Проектом бюджета поселения предлагается увеличить расходы бюджета поселения в </w:t>
      </w:r>
      <w:r w:rsidR="000E76FA">
        <w:t>202</w:t>
      </w:r>
      <w:r w:rsidR="005F62AE">
        <w:t>4</w:t>
      </w:r>
      <w:r w:rsidRPr="003C3612">
        <w:t xml:space="preserve"> году по сравнению с текущим годом </w:t>
      </w:r>
      <w:r w:rsidR="008E3D74">
        <w:t xml:space="preserve">всего </w:t>
      </w:r>
      <w:r>
        <w:t xml:space="preserve">по </w:t>
      </w:r>
      <w:r w:rsidR="004858B7">
        <w:t xml:space="preserve">трем </w:t>
      </w:r>
      <w:r w:rsidRPr="003C3612">
        <w:t>разделам</w:t>
      </w:r>
      <w:r>
        <w:t>:</w:t>
      </w:r>
      <w:r w:rsidRPr="003C3612">
        <w:rPr>
          <w:rFonts w:eastAsia="SimSun"/>
        </w:rPr>
        <w:t xml:space="preserve"> «</w:t>
      </w:r>
      <w:r>
        <w:rPr>
          <w:rFonts w:eastAsia="SimSun"/>
        </w:rPr>
        <w:t>Национальная оборона</w:t>
      </w:r>
      <w:r w:rsidRPr="003C3612">
        <w:rPr>
          <w:rFonts w:eastAsia="SimSun"/>
        </w:rPr>
        <w:t xml:space="preserve">» на </w:t>
      </w:r>
      <w:r w:rsidR="004858B7">
        <w:rPr>
          <w:rFonts w:eastAsia="SimSun"/>
        </w:rPr>
        <w:t>5,2</w:t>
      </w:r>
      <w:r>
        <w:rPr>
          <w:rFonts w:eastAsia="SimSun"/>
        </w:rPr>
        <w:t xml:space="preserve"> % за счет средств федерального бюджета на осуществление первичного воинского учета</w:t>
      </w:r>
      <w:r w:rsidR="009B6C7E">
        <w:rPr>
          <w:rFonts w:eastAsia="SimSun"/>
        </w:rPr>
        <w:t>, по разделу «Жилищно-коммунальное хозяйство»</w:t>
      </w:r>
      <w:r w:rsidR="00757916">
        <w:rPr>
          <w:rFonts w:eastAsia="SimSun"/>
        </w:rPr>
        <w:t xml:space="preserve"> на 9,2%</w:t>
      </w:r>
      <w:r w:rsidR="008E3D74">
        <w:rPr>
          <w:rFonts w:eastAsia="SimSun"/>
        </w:rPr>
        <w:t xml:space="preserve"> и</w:t>
      </w:r>
      <w:r>
        <w:rPr>
          <w:rFonts w:eastAsia="SimSun"/>
        </w:rPr>
        <w:t xml:space="preserve"> по разделу «</w:t>
      </w:r>
      <w:r w:rsidR="00757916">
        <w:rPr>
          <w:rFonts w:eastAsia="SimSun"/>
        </w:rPr>
        <w:t>Образование</w:t>
      </w:r>
      <w:r>
        <w:rPr>
          <w:rFonts w:eastAsia="SimSun"/>
        </w:rPr>
        <w:t xml:space="preserve">» </w:t>
      </w:r>
      <w:r w:rsidR="00757916">
        <w:rPr>
          <w:rFonts w:eastAsia="SimSun"/>
        </w:rPr>
        <w:t>в 3,4 раза</w:t>
      </w:r>
      <w:r>
        <w:rPr>
          <w:rFonts w:eastAsia="SimSun"/>
        </w:rPr>
        <w:t xml:space="preserve">, </w:t>
      </w:r>
      <w:r w:rsidR="008E3D74">
        <w:rPr>
          <w:rFonts w:eastAsia="SimSun"/>
        </w:rPr>
        <w:t xml:space="preserve">по остальным  разделам </w:t>
      </w:r>
      <w:r>
        <w:rPr>
          <w:rFonts w:eastAsia="SimSun"/>
        </w:rPr>
        <w:t>расход</w:t>
      </w:r>
      <w:r w:rsidR="008E3D74">
        <w:rPr>
          <w:rFonts w:eastAsia="SimSun"/>
        </w:rPr>
        <w:t>ы</w:t>
      </w:r>
      <w:r>
        <w:rPr>
          <w:rFonts w:eastAsia="SimSun"/>
        </w:rPr>
        <w:t xml:space="preserve"> </w:t>
      </w:r>
      <w:r w:rsidR="008E3D74">
        <w:rPr>
          <w:rFonts w:eastAsia="SimSun"/>
        </w:rPr>
        <w:t>с</w:t>
      </w:r>
      <w:r>
        <w:rPr>
          <w:rFonts w:eastAsia="SimSun"/>
        </w:rPr>
        <w:t>прогнозир</w:t>
      </w:r>
      <w:r w:rsidR="008E3D74">
        <w:rPr>
          <w:rFonts w:eastAsia="SimSun"/>
        </w:rPr>
        <w:t>ованы с</w:t>
      </w:r>
      <w:r>
        <w:rPr>
          <w:rFonts w:eastAsia="SimSun"/>
        </w:rPr>
        <w:t xml:space="preserve"> </w:t>
      </w:r>
      <w:r w:rsidR="008E3D74">
        <w:rPr>
          <w:rFonts w:eastAsia="SimSun"/>
        </w:rPr>
        <w:t>по</w:t>
      </w:r>
      <w:r w:rsidR="008E3D74" w:rsidRPr="008E3D74">
        <w:rPr>
          <w:rFonts w:eastAsia="SimSun"/>
        </w:rPr>
        <w:t>нижение</w:t>
      </w:r>
      <w:r w:rsidR="008E3D74">
        <w:rPr>
          <w:rFonts w:eastAsia="SimSun"/>
        </w:rPr>
        <w:t>м.</w:t>
      </w:r>
    </w:p>
    <w:p w14:paraId="17006A0C" w14:textId="632B8B0A" w:rsidR="00D22078" w:rsidRDefault="00D80372" w:rsidP="00D80372">
      <w:pPr>
        <w:autoSpaceDE w:val="0"/>
        <w:autoSpaceDN w:val="0"/>
        <w:adjustRightInd w:val="0"/>
        <w:ind w:firstLine="540"/>
        <w:jc w:val="both"/>
      </w:pPr>
      <w:r w:rsidRPr="005F7BC7">
        <w:t>Основную долю в структуре расходов предстоящего финансового года состав</w:t>
      </w:r>
      <w:r>
        <w:t>и</w:t>
      </w:r>
      <w:r w:rsidRPr="005F7BC7">
        <w:t xml:space="preserve">т заработная плата с начислениями </w:t>
      </w:r>
      <w:r>
        <w:t xml:space="preserve">– </w:t>
      </w:r>
      <w:r w:rsidR="00D41822">
        <w:t>61,6</w:t>
      </w:r>
      <w:r w:rsidRPr="005F7BC7">
        <w:t>%</w:t>
      </w:r>
      <w:r>
        <w:t>,</w:t>
      </w:r>
      <w:r w:rsidRPr="005F7BC7">
        <w:t xml:space="preserve"> или </w:t>
      </w:r>
      <w:r w:rsidR="008E3D74">
        <w:t>10</w:t>
      </w:r>
      <w:r w:rsidR="00D41822">
        <w:t>241,</w:t>
      </w:r>
      <w:r w:rsidR="00C8042A">
        <w:t>8</w:t>
      </w:r>
      <w:r w:rsidR="00D22078">
        <w:t xml:space="preserve"> т</w:t>
      </w:r>
      <w:r w:rsidRPr="005F7BC7">
        <w:t>ыс. руб.</w:t>
      </w:r>
      <w:r>
        <w:t xml:space="preserve">, на </w:t>
      </w:r>
      <w:r w:rsidR="000E76FA">
        <w:t>202</w:t>
      </w:r>
      <w:r w:rsidR="00D41822">
        <w:t>5</w:t>
      </w:r>
      <w:r>
        <w:t xml:space="preserve"> год –</w:t>
      </w:r>
      <w:r w:rsidR="00D41822">
        <w:t xml:space="preserve">  65,7%</w:t>
      </w:r>
      <w:r>
        <w:t xml:space="preserve">, или </w:t>
      </w:r>
      <w:r w:rsidR="00D41822">
        <w:t>8079,2</w:t>
      </w:r>
      <w:r>
        <w:t xml:space="preserve"> тыс. руб., на </w:t>
      </w:r>
      <w:r w:rsidR="000E76FA">
        <w:t>202</w:t>
      </w:r>
      <w:r w:rsidR="00D41822">
        <w:t>6</w:t>
      </w:r>
      <w:r w:rsidR="00D22078">
        <w:t xml:space="preserve"> год – </w:t>
      </w:r>
      <w:r w:rsidR="00D41822">
        <w:t>71,1</w:t>
      </w:r>
      <w:r w:rsidR="00D22078">
        <w:t xml:space="preserve">%, или </w:t>
      </w:r>
      <w:r w:rsidR="00D41822">
        <w:t>8487,7</w:t>
      </w:r>
      <w:r>
        <w:t xml:space="preserve"> тыс. руб.</w:t>
      </w:r>
      <w:r w:rsidRPr="005F7BC7">
        <w:t xml:space="preserve"> </w:t>
      </w:r>
      <w:r>
        <w:t xml:space="preserve">На закупку товаров, работ и услуг бюджетные ассигнования предусмотрены на </w:t>
      </w:r>
      <w:r w:rsidR="000E76FA">
        <w:t>202</w:t>
      </w:r>
      <w:r w:rsidR="00D41822">
        <w:t>4</w:t>
      </w:r>
      <w:r w:rsidR="00D22078">
        <w:t xml:space="preserve">г. </w:t>
      </w:r>
      <w:r w:rsidR="00DF42A8">
        <w:t xml:space="preserve">в </w:t>
      </w:r>
      <w:r w:rsidR="00C8042A">
        <w:t>сумме 5256,3</w:t>
      </w:r>
      <w:r w:rsidR="00D22078">
        <w:t xml:space="preserve"> тыс. руб.,</w:t>
      </w:r>
      <w:r w:rsidR="00DF42A8">
        <w:t xml:space="preserve"> на 202</w:t>
      </w:r>
      <w:r w:rsidR="00C8042A">
        <w:t>5</w:t>
      </w:r>
      <w:r w:rsidR="00DF42A8">
        <w:t xml:space="preserve"> год </w:t>
      </w:r>
      <w:r w:rsidR="004D0243">
        <w:t>–</w:t>
      </w:r>
      <w:r w:rsidR="00DF42A8">
        <w:t xml:space="preserve"> 31</w:t>
      </w:r>
      <w:r w:rsidR="004D0243">
        <w:t xml:space="preserve">53,3 </w:t>
      </w:r>
      <w:r w:rsidR="00DF42A8">
        <w:t>тыс.</w:t>
      </w:r>
      <w:r w:rsidR="004D0243">
        <w:t xml:space="preserve"> </w:t>
      </w:r>
      <w:r w:rsidR="00DF42A8">
        <w:t>руб.,</w:t>
      </w:r>
      <w:r w:rsidR="00D22078">
        <w:t xml:space="preserve"> на </w:t>
      </w:r>
      <w:r w:rsidR="000E76FA">
        <w:t>202</w:t>
      </w:r>
      <w:r w:rsidR="00BE617E">
        <w:t>6</w:t>
      </w:r>
      <w:r w:rsidR="00D22078">
        <w:t xml:space="preserve">г. – </w:t>
      </w:r>
      <w:r w:rsidR="00DF42A8">
        <w:t>3</w:t>
      </w:r>
      <w:r w:rsidR="004D0243">
        <w:t>170,7</w:t>
      </w:r>
      <w:r w:rsidR="00D22078">
        <w:t xml:space="preserve"> тыс. руб.</w:t>
      </w:r>
    </w:p>
    <w:p w14:paraId="4B0C4C97" w14:textId="77777777" w:rsidR="004D0243" w:rsidRDefault="004D0243" w:rsidP="00D80372">
      <w:pPr>
        <w:autoSpaceDE w:val="0"/>
        <w:autoSpaceDN w:val="0"/>
        <w:adjustRightInd w:val="0"/>
        <w:ind w:firstLine="540"/>
        <w:jc w:val="both"/>
      </w:pPr>
    </w:p>
    <w:p w14:paraId="0DEDF1BB" w14:textId="77777777" w:rsidR="00D80372" w:rsidRPr="00FA4229" w:rsidRDefault="00D80372" w:rsidP="00D80372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FA4229">
        <w:rPr>
          <w:b/>
          <w:u w:val="single"/>
        </w:rPr>
        <w:t>Раздел 01 «Общегосударственные вопросы»</w:t>
      </w:r>
    </w:p>
    <w:p w14:paraId="7C5F4E6C" w14:textId="4738D02C" w:rsidR="00D80372" w:rsidRPr="00F31448" w:rsidRDefault="00D80372" w:rsidP="00D80372">
      <w:pPr>
        <w:autoSpaceDE w:val="0"/>
        <w:autoSpaceDN w:val="0"/>
        <w:adjustRightInd w:val="0"/>
        <w:ind w:firstLine="567"/>
        <w:jc w:val="both"/>
      </w:pPr>
      <w:bookmarkStart w:id="3" w:name="_Hlk152080930"/>
      <w:r w:rsidRPr="00F31448">
        <w:t xml:space="preserve">По </w:t>
      </w:r>
      <w:r w:rsidR="00DF42A8">
        <w:t xml:space="preserve">данному </w:t>
      </w:r>
      <w:r w:rsidRPr="00F31448">
        <w:t xml:space="preserve">разделу отражены расходы на функционирование высшего должностного лица органа местного самоуправления, </w:t>
      </w:r>
      <w:r>
        <w:t>администрации, резервный фонд</w:t>
      </w:r>
      <w:r w:rsidRPr="00F31448">
        <w:t xml:space="preserve"> и другие общегосударственные расходы.</w:t>
      </w:r>
    </w:p>
    <w:p w14:paraId="6F508DFA" w14:textId="34B80739" w:rsidR="00D22078" w:rsidRDefault="00D80372" w:rsidP="00D22078">
      <w:pPr>
        <w:autoSpaceDE w:val="0"/>
        <w:autoSpaceDN w:val="0"/>
        <w:adjustRightInd w:val="0"/>
        <w:ind w:firstLine="567"/>
        <w:jc w:val="both"/>
      </w:pPr>
      <w:r w:rsidRPr="00F31448">
        <w:t xml:space="preserve">Общий объем расходов по данному разделу запланирован на </w:t>
      </w:r>
      <w:r w:rsidR="000E76FA">
        <w:t>202</w:t>
      </w:r>
      <w:r w:rsidR="004D0243">
        <w:t>4</w:t>
      </w:r>
      <w:r w:rsidRPr="00F31448">
        <w:t xml:space="preserve"> год в сумме</w:t>
      </w:r>
      <w:r w:rsidR="00D22078">
        <w:t xml:space="preserve"> </w:t>
      </w:r>
      <w:r w:rsidR="004D0243">
        <w:t>5347,7</w:t>
      </w:r>
      <w:r w:rsidR="00D22078">
        <w:t xml:space="preserve"> тыс. руб., что состав</w:t>
      </w:r>
      <w:r w:rsidR="00DF42A8">
        <w:t>ляе</w:t>
      </w:r>
      <w:r w:rsidR="00D22078">
        <w:t>т</w:t>
      </w:r>
      <w:r w:rsidR="004D0243">
        <w:t xml:space="preserve"> 74,2%</w:t>
      </w:r>
      <w:r w:rsidR="00D22078">
        <w:t xml:space="preserve"> к ожидаемому исполнению 202</w:t>
      </w:r>
      <w:r w:rsidR="004D0243">
        <w:t>3</w:t>
      </w:r>
      <w:r w:rsidR="00D22078">
        <w:t xml:space="preserve"> года, или </w:t>
      </w:r>
      <w:r w:rsidR="00DF42A8">
        <w:t>3</w:t>
      </w:r>
      <w:r w:rsidR="004D0243">
        <w:t>2,2</w:t>
      </w:r>
      <w:r w:rsidR="00D22078">
        <w:t xml:space="preserve">% от общего объема планируемых расходов. На </w:t>
      </w:r>
      <w:r w:rsidR="000E76FA">
        <w:t>202</w:t>
      </w:r>
      <w:r w:rsidR="004D0243">
        <w:t>5</w:t>
      </w:r>
      <w:r w:rsidR="00D22078">
        <w:t xml:space="preserve"> и </w:t>
      </w:r>
      <w:r w:rsidR="000E76FA">
        <w:t>202</w:t>
      </w:r>
      <w:r w:rsidR="004D0243">
        <w:t>6</w:t>
      </w:r>
      <w:r w:rsidR="00D22078">
        <w:t xml:space="preserve"> годы расходы на решение общегосударственных вопросов запланированы в объеме </w:t>
      </w:r>
      <w:r w:rsidR="00B71C0A">
        <w:t>4366,1</w:t>
      </w:r>
      <w:r w:rsidR="00D22078">
        <w:t xml:space="preserve"> тыс. руб. и </w:t>
      </w:r>
      <w:r w:rsidR="00DF42A8">
        <w:t>4</w:t>
      </w:r>
      <w:r w:rsidR="00B71C0A">
        <w:t>187,4</w:t>
      </w:r>
      <w:r w:rsidR="00D22078">
        <w:t xml:space="preserve"> тыс. руб. соответственно.</w:t>
      </w:r>
    </w:p>
    <w:p w14:paraId="764D7641" w14:textId="228C22F0" w:rsidR="004D3574" w:rsidRDefault="00D80372" w:rsidP="001F3A19">
      <w:pPr>
        <w:autoSpaceDE w:val="0"/>
        <w:autoSpaceDN w:val="0"/>
        <w:adjustRightInd w:val="0"/>
        <w:ind w:firstLine="567"/>
        <w:jc w:val="both"/>
      </w:pPr>
      <w:bookmarkStart w:id="4" w:name="_Hlk152081077"/>
      <w:bookmarkEnd w:id="3"/>
      <w:r w:rsidRPr="00F31448">
        <w:t xml:space="preserve"> </w:t>
      </w:r>
      <w:r w:rsidRPr="00F02194">
        <w:rPr>
          <w:b/>
        </w:rPr>
        <w:t>По подразделу 0102 «Функционирование высшего должностного лица»</w:t>
      </w:r>
      <w:r w:rsidRPr="00F02194">
        <w:t xml:space="preserve"> </w:t>
      </w:r>
      <w:r w:rsidR="00B71C0A">
        <w:t>предусмотрен объем расходов на содержание главы муниципального образования на 2024 год в сумме 1165,2 тыс. руб., что составит 84,6% к ожидаемому исполнению 2023 года (1377,4 тыс. руб.). Согласно пояснительной записке, расходы на оплату</w:t>
      </w:r>
      <w:r w:rsidR="004D3574">
        <w:t xml:space="preserve"> г</w:t>
      </w:r>
      <w:r w:rsidR="00B71C0A">
        <w:t xml:space="preserve">лавы </w:t>
      </w:r>
      <w:r w:rsidR="004D3574">
        <w:t xml:space="preserve">поселения </w:t>
      </w:r>
      <w:r w:rsidR="00B71C0A">
        <w:t>предусмотрены на 9 месяцев.</w:t>
      </w:r>
      <w:r w:rsidR="004D3574">
        <w:t xml:space="preserve"> На 2025 год расходы на оплату главы поселения предусмотрены в сумме 1128,1 тыс. руб., на 2026 год – 1128,1 тыс. руб.</w:t>
      </w:r>
      <w:r w:rsidR="000200A6">
        <w:t xml:space="preserve"> Расходы на заработную плату на 2025-2026гг. предусмотрены на 8,5 месяцев. </w:t>
      </w:r>
    </w:p>
    <w:p w14:paraId="711AB03C" w14:textId="71300430" w:rsidR="000E42E0" w:rsidRDefault="000200A6" w:rsidP="001F3A19">
      <w:pPr>
        <w:autoSpaceDE w:val="0"/>
        <w:autoSpaceDN w:val="0"/>
        <w:adjustRightInd w:val="0"/>
        <w:ind w:firstLine="567"/>
        <w:jc w:val="both"/>
      </w:pPr>
      <w:r>
        <w:t xml:space="preserve">В составе данных расходов предусмотрены расходы на выплату денежного содержания в сумме 895 тыс. руб. и на перечисление страховых взносов в сумме 270,2 тыс. руб. </w:t>
      </w:r>
      <w:r w:rsidR="000F356C">
        <w:t xml:space="preserve">Письмом Министерства труда и занятости Иркутской области от 01.11.2023г. № 02-74-4962/23 доведены нормативы формирования расходов на оплату труда на 2024 год, согласно которым норматив расходов на оплату труда главы </w:t>
      </w:r>
      <w:proofErr w:type="spellStart"/>
      <w:r w:rsidR="000F356C">
        <w:t>Каразейского</w:t>
      </w:r>
      <w:proofErr w:type="spellEnd"/>
      <w:r w:rsidR="000F356C">
        <w:t xml:space="preserve"> МО установлен в размере 1193,3 тыс. руб.</w:t>
      </w:r>
      <w:r w:rsidR="003D74F2">
        <w:t xml:space="preserve"> (рост к нормативу прошлого года 3,7%). </w:t>
      </w:r>
      <w:r w:rsidR="000F356C">
        <w:t xml:space="preserve">Расходы на содержание главы </w:t>
      </w:r>
      <w:proofErr w:type="spellStart"/>
      <w:r w:rsidR="000F356C">
        <w:t>Каразейского</w:t>
      </w:r>
      <w:proofErr w:type="spellEnd"/>
      <w:r w:rsidR="000F356C">
        <w:t xml:space="preserve"> МО планировались с учетом указанных нормативов.</w:t>
      </w:r>
      <w:r w:rsidR="003D74F2">
        <w:t xml:space="preserve"> Учитывая начисление страховых взносов ориентировочно в сумме 360,4 тыс. руб., </w:t>
      </w:r>
      <w:r w:rsidR="003D65B4">
        <w:t xml:space="preserve">общий объем расходов на содержание главы поселения слаживается в сумме </w:t>
      </w:r>
      <w:r w:rsidR="003D65B4" w:rsidRPr="003D65B4">
        <w:rPr>
          <w:u w:val="single"/>
        </w:rPr>
        <w:t>1553,7 тыс. руб.</w:t>
      </w:r>
      <w:r w:rsidR="003D65B4">
        <w:rPr>
          <w:u w:val="single"/>
        </w:rPr>
        <w:t xml:space="preserve"> </w:t>
      </w:r>
      <w:r w:rsidR="003D65B4">
        <w:t xml:space="preserve"> Как видно, расходы на содержание главы </w:t>
      </w:r>
      <w:proofErr w:type="spellStart"/>
      <w:r w:rsidR="003D65B4">
        <w:t>Каразейского</w:t>
      </w:r>
      <w:proofErr w:type="spellEnd"/>
      <w:r w:rsidR="003D65B4">
        <w:t xml:space="preserve"> МО запланированы ниже </w:t>
      </w:r>
      <w:r w:rsidR="000E42E0">
        <w:t>норматива: 2024г. – на 388,5 тыс. руб., 2025г. – на 425,6 тыс. руб., 2026г. – на 425,6 тыс. руб.</w:t>
      </w:r>
    </w:p>
    <w:bookmarkEnd w:id="4"/>
    <w:p w14:paraId="087F094C" w14:textId="3D5DAE9F" w:rsidR="00D80372" w:rsidRDefault="00D80372" w:rsidP="001F3A19">
      <w:pPr>
        <w:autoSpaceDE w:val="0"/>
        <w:autoSpaceDN w:val="0"/>
        <w:adjustRightInd w:val="0"/>
        <w:ind w:firstLine="567"/>
        <w:jc w:val="both"/>
      </w:pPr>
      <w:r w:rsidRPr="000F7DDB">
        <w:rPr>
          <w:b/>
          <w:color w:val="000000"/>
        </w:rPr>
        <w:t xml:space="preserve">По подразделу 0104 «Функционирование местных администраций» </w:t>
      </w:r>
      <w:r w:rsidRPr="00AF1C74">
        <w:rPr>
          <w:color w:val="000000"/>
        </w:rPr>
        <w:t xml:space="preserve">объем расходов на содержание администрации в </w:t>
      </w:r>
      <w:r w:rsidR="000E76FA">
        <w:rPr>
          <w:color w:val="000000"/>
        </w:rPr>
        <w:t>202</w:t>
      </w:r>
      <w:r w:rsidR="000E42E0">
        <w:rPr>
          <w:color w:val="000000"/>
        </w:rPr>
        <w:t>4</w:t>
      </w:r>
      <w:r>
        <w:rPr>
          <w:color w:val="000000"/>
        </w:rPr>
        <w:t xml:space="preserve"> </w:t>
      </w:r>
      <w:r w:rsidRPr="00AF1C74">
        <w:rPr>
          <w:color w:val="000000"/>
        </w:rPr>
        <w:t>год</w:t>
      </w:r>
      <w:r>
        <w:rPr>
          <w:color w:val="000000"/>
        </w:rPr>
        <w:t>у</w:t>
      </w:r>
      <w:r w:rsidRPr="00AF1C74">
        <w:rPr>
          <w:color w:val="000000"/>
        </w:rPr>
        <w:t xml:space="preserve"> предусмотрен в сумме </w:t>
      </w:r>
      <w:r w:rsidR="00AB5DA8">
        <w:rPr>
          <w:color w:val="000000"/>
        </w:rPr>
        <w:t>4</w:t>
      </w:r>
      <w:r w:rsidR="000E42E0">
        <w:rPr>
          <w:color w:val="000000"/>
        </w:rPr>
        <w:t xml:space="preserve">171,8 </w:t>
      </w:r>
      <w:r w:rsidRPr="00AF1C74">
        <w:rPr>
          <w:color w:val="000000"/>
        </w:rPr>
        <w:t>тыс. руб</w:t>
      </w:r>
      <w:r w:rsidR="000E42E0">
        <w:rPr>
          <w:color w:val="000000"/>
        </w:rPr>
        <w:t>.</w:t>
      </w:r>
      <w:r w:rsidRPr="00AF1C74">
        <w:rPr>
          <w:color w:val="000000"/>
        </w:rPr>
        <w:t xml:space="preserve">, что составит </w:t>
      </w:r>
      <w:r w:rsidR="000E42E0">
        <w:rPr>
          <w:color w:val="000000"/>
        </w:rPr>
        <w:t>71,7</w:t>
      </w:r>
      <w:r w:rsidRPr="00AF1C74">
        <w:rPr>
          <w:color w:val="000000"/>
        </w:rPr>
        <w:t xml:space="preserve">% к ожидаемому исполнению </w:t>
      </w:r>
      <w:r>
        <w:rPr>
          <w:color w:val="000000"/>
        </w:rPr>
        <w:t>202</w:t>
      </w:r>
      <w:r w:rsidR="000E42E0">
        <w:rPr>
          <w:color w:val="000000"/>
        </w:rPr>
        <w:t>3</w:t>
      </w:r>
      <w:r w:rsidRPr="00AF1C74">
        <w:rPr>
          <w:color w:val="000000"/>
        </w:rPr>
        <w:t xml:space="preserve"> года, в том</w:t>
      </w:r>
      <w:r w:rsidRPr="00AF1C74">
        <w:rPr>
          <w:color w:val="FF0000"/>
        </w:rPr>
        <w:t xml:space="preserve"> </w:t>
      </w:r>
      <w:r w:rsidRPr="00AF1C74">
        <w:rPr>
          <w:color w:val="000000"/>
        </w:rPr>
        <w:t xml:space="preserve">числе на заработную плату труда и начисления на оплату труда планируется направить </w:t>
      </w:r>
      <w:r w:rsidR="000E42E0">
        <w:rPr>
          <w:color w:val="000000"/>
        </w:rPr>
        <w:t>3859</w:t>
      </w:r>
      <w:r w:rsidRPr="00AF1C74">
        <w:rPr>
          <w:color w:val="000000"/>
        </w:rPr>
        <w:t xml:space="preserve"> тыс. руб</w:t>
      </w:r>
      <w:r w:rsidR="002446DA">
        <w:rPr>
          <w:color w:val="000000"/>
        </w:rPr>
        <w:t>.</w:t>
      </w:r>
      <w:r w:rsidRPr="00AF1C74">
        <w:t>, на</w:t>
      </w:r>
      <w:r w:rsidRPr="00AF1C74">
        <w:rPr>
          <w:color w:val="FF0000"/>
        </w:rPr>
        <w:t xml:space="preserve"> </w:t>
      </w:r>
      <w:r w:rsidRPr="00AF1C74">
        <w:rPr>
          <w:color w:val="000000"/>
        </w:rPr>
        <w:t xml:space="preserve">закупку товаров, работ и услуг – </w:t>
      </w:r>
      <w:r w:rsidR="00AB5DA8">
        <w:rPr>
          <w:color w:val="000000"/>
        </w:rPr>
        <w:t>302</w:t>
      </w:r>
      <w:r w:rsidRPr="00AF1C74">
        <w:rPr>
          <w:color w:val="000000"/>
        </w:rPr>
        <w:t xml:space="preserve"> тыс. руб</w:t>
      </w:r>
      <w:r w:rsidR="002446DA">
        <w:rPr>
          <w:color w:val="000000"/>
        </w:rPr>
        <w:t>., уплату иных бюджетных ассигнований – 10,8 тыс. руб.</w:t>
      </w:r>
      <w:r>
        <w:rPr>
          <w:color w:val="000000"/>
        </w:rPr>
        <w:t xml:space="preserve"> </w:t>
      </w:r>
      <w:r w:rsidRPr="00AF1C74">
        <w:rPr>
          <w:color w:val="000000"/>
        </w:rPr>
        <w:t xml:space="preserve">Удельный вес расходов по подразделу в общем объеме расходов бюджета составит </w:t>
      </w:r>
      <w:r w:rsidR="009650A6">
        <w:rPr>
          <w:color w:val="000000"/>
        </w:rPr>
        <w:t>2</w:t>
      </w:r>
      <w:r w:rsidR="000E42E0">
        <w:rPr>
          <w:color w:val="000000"/>
        </w:rPr>
        <w:t>5,1</w:t>
      </w:r>
      <w:r w:rsidR="00D9234C">
        <w:rPr>
          <w:color w:val="000000"/>
        </w:rPr>
        <w:t>%</w:t>
      </w:r>
      <w:r w:rsidRPr="00AF1C74">
        <w:t xml:space="preserve">. </w:t>
      </w:r>
      <w:r w:rsidR="000E42E0" w:rsidRPr="00AF1C74">
        <w:t>Согласно пояснительной записке,</w:t>
      </w:r>
      <w:r w:rsidRPr="00AF1C74">
        <w:t xml:space="preserve"> расходы на зар</w:t>
      </w:r>
      <w:r>
        <w:t xml:space="preserve">аботную плату </w:t>
      </w:r>
      <w:r w:rsidR="00173F8B">
        <w:t xml:space="preserve">работников администрации </w:t>
      </w:r>
      <w:r>
        <w:t xml:space="preserve">предусмотрены на </w:t>
      </w:r>
      <w:r w:rsidR="00173F8B">
        <w:t>9</w:t>
      </w:r>
      <w:r w:rsidRPr="00AF1C74">
        <w:t xml:space="preserve"> месяцев</w:t>
      </w:r>
      <w:r w:rsidR="00AD215F">
        <w:t>.</w:t>
      </w:r>
      <w:r w:rsidRPr="00AF1C74">
        <w:t xml:space="preserve"> </w:t>
      </w:r>
      <w:r>
        <w:t xml:space="preserve"> </w:t>
      </w:r>
    </w:p>
    <w:p w14:paraId="0A9ECD69" w14:textId="1AC99B6E" w:rsidR="004347E5" w:rsidRDefault="00497838" w:rsidP="004347E5">
      <w:pPr>
        <w:autoSpaceDE w:val="0"/>
        <w:autoSpaceDN w:val="0"/>
        <w:adjustRightInd w:val="0"/>
        <w:ind w:firstLine="567"/>
        <w:jc w:val="both"/>
      </w:pPr>
      <w:r>
        <w:t>На 2025</w:t>
      </w:r>
      <w:r w:rsidR="002446DA">
        <w:t xml:space="preserve">-2026гг. на функционирование </w:t>
      </w:r>
      <w:r>
        <w:t xml:space="preserve">администрации бюджетные </w:t>
      </w:r>
      <w:r w:rsidRPr="007343D5">
        <w:t>ассигнования запланированы</w:t>
      </w:r>
      <w:r>
        <w:t xml:space="preserve"> в сумме 3227,3 </w:t>
      </w:r>
      <w:r w:rsidRPr="000B1918">
        <w:t>тыс. руб.</w:t>
      </w:r>
      <w:r>
        <w:t xml:space="preserve"> и 3048,6 тыс. руб. соответственно, из них на оплату труда </w:t>
      </w:r>
      <w:r w:rsidRPr="000B1918">
        <w:t xml:space="preserve">– </w:t>
      </w:r>
      <w:r>
        <w:t>2963,9 т</w:t>
      </w:r>
      <w:r w:rsidRPr="000B1918">
        <w:t>ыс.</w:t>
      </w:r>
      <w:r>
        <w:t xml:space="preserve"> </w:t>
      </w:r>
      <w:r w:rsidRPr="000B1918">
        <w:t xml:space="preserve">руб. </w:t>
      </w:r>
      <w:r>
        <w:t xml:space="preserve">и 2837,8 тыс. руб. (91,8% и 93,1% соответственно от расходов по подразделу), на закупку товаров, работ и услуг – </w:t>
      </w:r>
      <w:r w:rsidR="004347E5">
        <w:t>252,6</w:t>
      </w:r>
      <w:r>
        <w:t xml:space="preserve"> тыс. руб. и </w:t>
      </w:r>
      <w:r w:rsidR="004347E5">
        <w:t>200</w:t>
      </w:r>
      <w:r>
        <w:t xml:space="preserve"> тыс. руб. (</w:t>
      </w:r>
      <w:r w:rsidR="004347E5">
        <w:t>7</w:t>
      </w:r>
      <w:r>
        <w:t xml:space="preserve">,8% и </w:t>
      </w:r>
      <w:r w:rsidR="004347E5">
        <w:t>6,6%</w:t>
      </w:r>
      <w:r>
        <w:t xml:space="preserve"> соответственно от расходов по подразделу). Из пояснительной записки следует, что средства на оплату труда работникам администрации предусмотрены на 7 месяцев.</w:t>
      </w:r>
      <w:r w:rsidRPr="00113772">
        <w:t xml:space="preserve"> </w:t>
      </w:r>
      <w:r w:rsidR="004347E5">
        <w:t xml:space="preserve">В составе расходов на закупку товаров, работ и услуг для муниципальных нужд </w:t>
      </w:r>
      <w:r w:rsidR="004347E5">
        <w:lastRenderedPageBreak/>
        <w:t xml:space="preserve">предусмотрено расходы на услуги связи, коммунальные услуги, услуги по содержанию имущества, приобретение ГСМ, прочие расходы. </w:t>
      </w:r>
    </w:p>
    <w:p w14:paraId="174E566C" w14:textId="26B30E05" w:rsidR="007168B2" w:rsidRDefault="00B52152" w:rsidP="004347E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Штатным расписаниями </w:t>
      </w:r>
      <w:r w:rsidR="00AD215F">
        <w:t xml:space="preserve">администрации предусмотрено 3,75 единицы муниципальных служащих и 3,5 единицы вспомогательного персонала. </w:t>
      </w:r>
      <w:bookmarkStart w:id="5" w:name="_Hlk151455817"/>
      <w:r w:rsidR="009269B6">
        <w:t xml:space="preserve">Анализ должностных окладов муниципальных служащих показал, что </w:t>
      </w:r>
      <w:r w:rsidR="007168B2" w:rsidRPr="00DB545B">
        <w:rPr>
          <w:color w:val="000000"/>
        </w:rPr>
        <w:t xml:space="preserve">они не превышают размеры должностных окладов государственных гражданских служащих Иркутской области, замещающих соответствующие должности государственной гражданской службы Иркутской области,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области, </w:t>
      </w:r>
      <w:r w:rsidR="007168B2" w:rsidRPr="006F7AD4">
        <w:rPr>
          <w:b/>
          <w:bCs/>
          <w:color w:val="000000"/>
        </w:rPr>
        <w:t>за исключением должности начальника отдела.</w:t>
      </w:r>
      <w:r w:rsidR="007168B2">
        <w:rPr>
          <w:color w:val="000000"/>
        </w:rPr>
        <w:t xml:space="preserve"> По соотношению должностей должность начальника отдела поселения соотносится с должностью заместителя начальника отдела в управлении министерства Иркутской </w:t>
      </w:r>
      <w:r w:rsidR="00673255">
        <w:rPr>
          <w:color w:val="000000"/>
        </w:rPr>
        <w:t>области. Из нижеприведенной таблицы видно, что должностной оклад начальника отдела превышает ограничения на 1168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1694"/>
      </w:tblGrid>
      <w:tr w:rsidR="008A56A1" w14:paraId="5E001E5E" w14:textId="77777777" w:rsidTr="008A56A1">
        <w:tc>
          <w:tcPr>
            <w:tcW w:w="5240" w:type="dxa"/>
          </w:tcPr>
          <w:p w14:paraId="0A449782" w14:textId="203C2F51" w:rsidR="008A56A1" w:rsidRPr="008A56A1" w:rsidRDefault="008A56A1" w:rsidP="008A56A1">
            <w:pPr>
              <w:autoSpaceDE w:val="0"/>
              <w:autoSpaceDN w:val="0"/>
              <w:adjustRightInd w:val="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>
              <w:rPr>
                <w:color w:val="22272F"/>
                <w:sz w:val="16"/>
                <w:szCs w:val="16"/>
                <w:shd w:val="clear" w:color="auto" w:fill="FFFFFF"/>
              </w:rPr>
              <w:t>Должностной оклад з</w:t>
            </w:r>
            <w:r w:rsidRPr="008A56A1">
              <w:rPr>
                <w:color w:val="22272F"/>
                <w:sz w:val="16"/>
                <w:szCs w:val="16"/>
                <w:shd w:val="clear" w:color="auto" w:fill="FFFFFF"/>
              </w:rPr>
              <w:t>аместите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>ля</w:t>
            </w:r>
            <w:r w:rsidRPr="008A56A1">
              <w:rPr>
                <w:color w:val="22272F"/>
                <w:sz w:val="16"/>
                <w:szCs w:val="16"/>
                <w:shd w:val="clear" w:color="auto" w:fill="FFFFFF"/>
              </w:rPr>
              <w:t xml:space="preserve"> начальника отдела в управлении министерства Иркутской обл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>., согласно Указа Губернатора от 16.09.2022г. № 203-уг «</w:t>
            </w:r>
            <w:r w:rsidRPr="008A56A1">
              <w:rPr>
                <w:color w:val="22272F"/>
                <w:sz w:val="16"/>
                <w:szCs w:val="16"/>
                <w:shd w:val="clear" w:color="auto" w:fill="FFFFFF"/>
              </w:rPr>
              <w:t>О размерах должностных окладов и ежемесячного денежного поощрения государственных гражданских служащих Иркутской области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>», руб.</w:t>
            </w:r>
          </w:p>
        </w:tc>
        <w:tc>
          <w:tcPr>
            <w:tcW w:w="2410" w:type="dxa"/>
          </w:tcPr>
          <w:p w14:paraId="0474FDF1" w14:textId="2E936F7C" w:rsidR="008A56A1" w:rsidRPr="008A56A1" w:rsidRDefault="008A56A1" w:rsidP="008A5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Должностной оклад начальника отдела, предусмотренный в штатном расписании, руб.</w:t>
            </w:r>
          </w:p>
        </w:tc>
        <w:tc>
          <w:tcPr>
            <w:tcW w:w="1694" w:type="dxa"/>
          </w:tcPr>
          <w:p w14:paraId="173EC45F" w14:textId="10DBF281" w:rsidR="008A56A1" w:rsidRPr="008A56A1" w:rsidRDefault="008A56A1" w:rsidP="008A5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A56A1">
              <w:rPr>
                <w:color w:val="000000"/>
                <w:sz w:val="16"/>
                <w:szCs w:val="16"/>
              </w:rPr>
              <w:t>размер завышения должностного оклада в месяц, руб.</w:t>
            </w:r>
          </w:p>
        </w:tc>
      </w:tr>
      <w:tr w:rsidR="008A56A1" w14:paraId="31ED6293" w14:textId="77777777" w:rsidTr="008A56A1">
        <w:tc>
          <w:tcPr>
            <w:tcW w:w="5240" w:type="dxa"/>
          </w:tcPr>
          <w:p w14:paraId="4599DC48" w14:textId="0F2CBF28" w:rsidR="008A56A1" w:rsidRPr="008A56A1" w:rsidRDefault="008A56A1" w:rsidP="008A5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6A1">
              <w:rPr>
                <w:color w:val="000000"/>
                <w:sz w:val="22"/>
                <w:szCs w:val="22"/>
              </w:rPr>
              <w:t>12452</w:t>
            </w:r>
          </w:p>
        </w:tc>
        <w:tc>
          <w:tcPr>
            <w:tcW w:w="2410" w:type="dxa"/>
          </w:tcPr>
          <w:p w14:paraId="3AA491B8" w14:textId="64C8CA2D" w:rsidR="008A56A1" w:rsidRPr="008A56A1" w:rsidRDefault="008A56A1" w:rsidP="008A5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6A1">
              <w:rPr>
                <w:color w:val="000000"/>
                <w:sz w:val="22"/>
                <w:szCs w:val="22"/>
              </w:rPr>
              <w:t>13620</w:t>
            </w:r>
          </w:p>
        </w:tc>
        <w:tc>
          <w:tcPr>
            <w:tcW w:w="1694" w:type="dxa"/>
          </w:tcPr>
          <w:p w14:paraId="56771855" w14:textId="5E6D32A1" w:rsidR="008A56A1" w:rsidRPr="008A56A1" w:rsidRDefault="008A56A1" w:rsidP="008A5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6A1">
              <w:rPr>
                <w:color w:val="000000"/>
                <w:sz w:val="22"/>
                <w:szCs w:val="22"/>
              </w:rPr>
              <w:t>1168</w:t>
            </w:r>
          </w:p>
        </w:tc>
      </w:tr>
    </w:tbl>
    <w:bookmarkEnd w:id="5"/>
    <w:p w14:paraId="435C89AD" w14:textId="2D1A7851" w:rsidR="00B52152" w:rsidRPr="00CC7E8F" w:rsidRDefault="007849E7" w:rsidP="004347E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>Р</w:t>
      </w:r>
      <w:r w:rsidR="00AD215F">
        <w:t xml:space="preserve">асчетный ФОТ со страховыми взносами на 12 месяцев составляет </w:t>
      </w:r>
      <w:r>
        <w:t>5023,9</w:t>
      </w:r>
      <w:r w:rsidR="00AD215F">
        <w:t xml:space="preserve"> тыс. руб. Следовательно, </w:t>
      </w:r>
      <w:r w:rsidR="00AD215F" w:rsidRPr="00CC7E8F">
        <w:rPr>
          <w:b/>
          <w:bCs/>
        </w:rPr>
        <w:t>на 2024 год и плановый период 2025-2026гг. расходные обязательства в части формирования фонда оплаты труда с начислениями работников администрации поселения обеспечены не в полном объеме: при потребности 5</w:t>
      </w:r>
      <w:r>
        <w:rPr>
          <w:b/>
          <w:bCs/>
        </w:rPr>
        <w:t>023,9</w:t>
      </w:r>
      <w:r w:rsidR="00AD215F" w:rsidRPr="00CC7E8F">
        <w:rPr>
          <w:b/>
          <w:bCs/>
        </w:rPr>
        <w:t xml:space="preserve"> тыс. руб. проектом предлагается к утверждению на 2024 год </w:t>
      </w:r>
      <w:r w:rsidR="00CC7E8F" w:rsidRPr="00CC7E8F">
        <w:rPr>
          <w:b/>
          <w:bCs/>
        </w:rPr>
        <w:t>–</w:t>
      </w:r>
      <w:r w:rsidR="00AD215F" w:rsidRPr="00CC7E8F">
        <w:rPr>
          <w:b/>
          <w:bCs/>
        </w:rPr>
        <w:t xml:space="preserve"> </w:t>
      </w:r>
      <w:r w:rsidR="00CC7E8F" w:rsidRPr="00CC7E8F">
        <w:rPr>
          <w:b/>
          <w:bCs/>
        </w:rPr>
        <w:t>3859 тыс. руб., на 2025г. – 2963,9 тыс. руб., на 2026г. – 2837,8 тыс. руб.</w:t>
      </w:r>
    </w:p>
    <w:p w14:paraId="31F3FFAC" w14:textId="467BF427" w:rsidR="00D80372" w:rsidRPr="00F703D4" w:rsidRDefault="00D80372" w:rsidP="00F01D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703D4">
        <w:rPr>
          <w:color w:val="000000"/>
        </w:rPr>
        <w:t xml:space="preserve">Расходы по </w:t>
      </w:r>
      <w:r w:rsidRPr="00F703D4">
        <w:rPr>
          <w:b/>
          <w:bCs/>
          <w:color w:val="000000"/>
        </w:rPr>
        <w:t xml:space="preserve">подразделу 0111 «Резервные фонды» </w:t>
      </w:r>
      <w:r w:rsidRPr="00F703D4">
        <w:rPr>
          <w:color w:val="000000"/>
        </w:rPr>
        <w:t xml:space="preserve">сформированы </w:t>
      </w:r>
      <w:r>
        <w:rPr>
          <w:color w:val="000000"/>
        </w:rPr>
        <w:t xml:space="preserve">на каждый год трехлетнего периода </w:t>
      </w:r>
      <w:r w:rsidRPr="00F703D4">
        <w:rPr>
          <w:color w:val="000000"/>
        </w:rPr>
        <w:t>в сумме по</w:t>
      </w:r>
      <w:r>
        <w:rPr>
          <w:color w:val="000000"/>
        </w:rPr>
        <w:t xml:space="preserve"> 10</w:t>
      </w:r>
      <w:r w:rsidRPr="00F703D4">
        <w:rPr>
          <w:color w:val="000000"/>
        </w:rPr>
        <w:t>тыс. рублей, что составляет по 0,</w:t>
      </w:r>
      <w:r>
        <w:rPr>
          <w:color w:val="000000"/>
        </w:rPr>
        <w:t>1</w:t>
      </w:r>
      <w:r w:rsidRPr="00F703D4">
        <w:rPr>
          <w:color w:val="000000"/>
        </w:rPr>
        <w:t>% от всех расходов бюджета поселения и не превышает норматив, установленный ст. 81 БК РФ</w:t>
      </w:r>
      <w:r>
        <w:rPr>
          <w:color w:val="000000"/>
        </w:rPr>
        <w:t xml:space="preserve"> (3%)</w:t>
      </w:r>
      <w:r w:rsidRPr="00F703D4">
        <w:rPr>
          <w:color w:val="000000"/>
        </w:rPr>
        <w:t>.</w:t>
      </w:r>
    </w:p>
    <w:p w14:paraId="78A43BC8" w14:textId="4D02FB43" w:rsidR="00D80372" w:rsidRPr="001770CA" w:rsidRDefault="00D80372" w:rsidP="00D80372">
      <w:pPr>
        <w:ind w:firstLine="567"/>
        <w:jc w:val="both"/>
      </w:pPr>
      <w:r w:rsidRPr="001770CA">
        <w:t xml:space="preserve">Расходы по </w:t>
      </w:r>
      <w:r w:rsidRPr="001770CA">
        <w:rPr>
          <w:b/>
          <w:bCs/>
        </w:rPr>
        <w:t xml:space="preserve">подразделу 0113 «Другие общегосударственные вопросы» </w:t>
      </w:r>
      <w:r w:rsidRPr="0011428E">
        <w:rPr>
          <w:bCs/>
        </w:rPr>
        <w:t xml:space="preserve">на плановый период </w:t>
      </w:r>
      <w:r w:rsidR="001F780E">
        <w:rPr>
          <w:bCs/>
        </w:rPr>
        <w:t>202</w:t>
      </w:r>
      <w:r w:rsidR="007A2523">
        <w:rPr>
          <w:bCs/>
        </w:rPr>
        <w:t>4</w:t>
      </w:r>
      <w:r w:rsidR="001F780E">
        <w:rPr>
          <w:bCs/>
        </w:rPr>
        <w:t>-202</w:t>
      </w:r>
      <w:r w:rsidR="007A2523">
        <w:rPr>
          <w:bCs/>
        </w:rPr>
        <w:t>6</w:t>
      </w:r>
      <w:r w:rsidR="001F780E">
        <w:rPr>
          <w:bCs/>
        </w:rPr>
        <w:t xml:space="preserve">гг. </w:t>
      </w:r>
      <w:r w:rsidRPr="0011428E">
        <w:rPr>
          <w:bCs/>
        </w:rPr>
        <w:t>сформированы в сумме по 0,7 тыс. рублей ежегодно</w:t>
      </w:r>
      <w:r w:rsidRPr="001770CA">
        <w:t xml:space="preserve"> 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</w:r>
      <w:r>
        <w:t xml:space="preserve"> </w:t>
      </w:r>
    </w:p>
    <w:p w14:paraId="4F9659D9" w14:textId="77777777" w:rsidR="00D80372" w:rsidRPr="001770CA" w:rsidRDefault="00D80372" w:rsidP="00D80372">
      <w:pPr>
        <w:ind w:firstLine="540"/>
        <w:jc w:val="both"/>
      </w:pPr>
    </w:p>
    <w:p w14:paraId="5601ACC7" w14:textId="77777777" w:rsidR="00D80372" w:rsidRPr="004846BB" w:rsidRDefault="00D80372" w:rsidP="00D80372">
      <w:pPr>
        <w:ind w:firstLine="180"/>
        <w:jc w:val="center"/>
        <w:rPr>
          <w:b/>
          <w:color w:val="000000"/>
          <w:u w:val="single"/>
        </w:rPr>
      </w:pPr>
      <w:r w:rsidRPr="004846BB">
        <w:rPr>
          <w:b/>
          <w:color w:val="000000"/>
          <w:u w:val="single"/>
        </w:rPr>
        <w:t>Раздел 02 «Национальная оборона»</w:t>
      </w:r>
    </w:p>
    <w:p w14:paraId="194E2B0F" w14:textId="77777777"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46BB">
        <w:rPr>
          <w:color w:val="000000"/>
        </w:rPr>
        <w:t xml:space="preserve">В данном разделе предусмотрены ассигнования </w:t>
      </w:r>
      <w:r w:rsidRPr="004846BB">
        <w:rPr>
          <w:b/>
          <w:color w:val="000000"/>
        </w:rPr>
        <w:t>по подразделу</w:t>
      </w:r>
      <w:r w:rsidRPr="004846BB">
        <w:rPr>
          <w:color w:val="000000"/>
        </w:rPr>
        <w:t xml:space="preserve"> </w:t>
      </w:r>
      <w:r w:rsidRPr="004846BB">
        <w:rPr>
          <w:b/>
          <w:color w:val="000000"/>
        </w:rPr>
        <w:t xml:space="preserve">0203 «Мобилизационная и вневойсковая подготовка» </w:t>
      </w:r>
      <w:r w:rsidRPr="004846BB">
        <w:rPr>
          <w:color w:val="000000"/>
        </w:rPr>
        <w:t xml:space="preserve">(расходы за счет средств федерального бюджета на осуществление первичного воинского учета). </w:t>
      </w:r>
    </w:p>
    <w:p w14:paraId="66D68CFA" w14:textId="2157EC34" w:rsidR="00992FEB" w:rsidRDefault="00992FEB" w:rsidP="00FA4523">
      <w:pPr>
        <w:ind w:firstLine="567"/>
        <w:jc w:val="both"/>
      </w:pPr>
      <w:r>
        <w:t>Согласно оценке ожидаемого исполнения бюджета поселения в 202</w:t>
      </w:r>
      <w:r w:rsidR="007A2523">
        <w:t>3</w:t>
      </w:r>
      <w:r>
        <w:t xml:space="preserve"> году по подразделу 0203 расходы составят </w:t>
      </w:r>
      <w:r w:rsidR="001F780E">
        <w:t>1</w:t>
      </w:r>
      <w:r w:rsidR="007A2523">
        <w:t>73,7</w:t>
      </w:r>
      <w:r>
        <w:t xml:space="preserve"> тыс. рублей. На </w:t>
      </w:r>
      <w:r w:rsidR="000E76FA">
        <w:t>202</w:t>
      </w:r>
      <w:r w:rsidR="007A2523">
        <w:t>4</w:t>
      </w:r>
      <w:r>
        <w:t xml:space="preserve"> год проектом бюджета аналогичные расходы предусмотрены в сумме </w:t>
      </w:r>
      <w:r w:rsidR="001F780E">
        <w:t>1</w:t>
      </w:r>
      <w:r w:rsidR="007A2523">
        <w:t>82,7</w:t>
      </w:r>
      <w:r>
        <w:t xml:space="preserve"> тыс. руб., что составит </w:t>
      </w:r>
      <w:r w:rsidR="001F780E">
        <w:t>1</w:t>
      </w:r>
      <w:r w:rsidR="007A2523">
        <w:t>05,2</w:t>
      </w:r>
      <w:r>
        <w:t>% к оценке исполнения 202</w:t>
      </w:r>
      <w:r w:rsidR="007A2523">
        <w:t>3</w:t>
      </w:r>
      <w:r>
        <w:t xml:space="preserve"> года и 1,</w:t>
      </w:r>
      <w:r w:rsidR="007A2523">
        <w:t>1</w:t>
      </w:r>
      <w:r>
        <w:t xml:space="preserve">% от общего объема планируемых расходов. Расходы предусмотрены на оплату труда специалиста ВУС в сумме </w:t>
      </w:r>
      <w:r w:rsidR="00905146">
        <w:t>1</w:t>
      </w:r>
      <w:r w:rsidR="007A2523">
        <w:t>70,2</w:t>
      </w:r>
      <w:r w:rsidR="00905146">
        <w:t xml:space="preserve"> тыс. руб., на закупку товаров, работ и услуг – 12,</w:t>
      </w:r>
      <w:r w:rsidR="007A2523">
        <w:t>5</w:t>
      </w:r>
      <w:r w:rsidR="00905146">
        <w:t xml:space="preserve"> тыс. руб.</w:t>
      </w:r>
    </w:p>
    <w:p w14:paraId="2B5E4785" w14:textId="5586943C" w:rsidR="00687CB2" w:rsidRDefault="00FA4523" w:rsidP="00FA4523">
      <w:pPr>
        <w:ind w:firstLine="426"/>
        <w:jc w:val="both"/>
      </w:pPr>
      <w:r w:rsidRPr="00FA4523">
        <w:t>На плановый период 202</w:t>
      </w:r>
      <w:r w:rsidR="00687CB2">
        <w:t>5</w:t>
      </w:r>
      <w:r w:rsidRPr="00FA4523">
        <w:t xml:space="preserve">г. расходы по данному подразделу планируются в сумме </w:t>
      </w:r>
      <w:r>
        <w:t>18</w:t>
      </w:r>
      <w:r w:rsidR="00687CB2">
        <w:t>9,5 т</w:t>
      </w:r>
      <w:r w:rsidRPr="00FA4523">
        <w:t>ыс.</w:t>
      </w:r>
      <w:r w:rsidR="00687CB2">
        <w:t xml:space="preserve"> </w:t>
      </w:r>
      <w:r w:rsidRPr="00FA4523">
        <w:t>руб., что выше уровня 202</w:t>
      </w:r>
      <w:r w:rsidR="00687CB2">
        <w:t>4</w:t>
      </w:r>
      <w:r w:rsidRPr="00FA4523">
        <w:t xml:space="preserve"> года на </w:t>
      </w:r>
      <w:r w:rsidR="00687CB2">
        <w:t>3,7</w:t>
      </w:r>
      <w:r w:rsidRPr="00FA4523">
        <w:t xml:space="preserve">%. </w:t>
      </w:r>
      <w:r w:rsidR="00687CB2">
        <w:t>На 2026 год расходы по данному разделу не предусмотрены.</w:t>
      </w:r>
    </w:p>
    <w:p w14:paraId="6EF7B26F" w14:textId="77777777" w:rsidR="00687CB2" w:rsidRDefault="00687CB2" w:rsidP="00FA4523">
      <w:pPr>
        <w:ind w:firstLine="426"/>
        <w:jc w:val="both"/>
      </w:pPr>
    </w:p>
    <w:p w14:paraId="03098FDA" w14:textId="77777777" w:rsidR="00D80372" w:rsidRPr="00F64805" w:rsidRDefault="00D80372" w:rsidP="00D80372">
      <w:pPr>
        <w:ind w:firstLine="180"/>
        <w:jc w:val="center"/>
        <w:rPr>
          <w:b/>
          <w:u w:val="single"/>
        </w:rPr>
      </w:pPr>
      <w:r w:rsidRPr="00F64805">
        <w:rPr>
          <w:b/>
          <w:u w:val="single"/>
        </w:rPr>
        <w:t>Раздел 03 «Национальная безопасность и правоохранительная деятельность»</w:t>
      </w:r>
    </w:p>
    <w:p w14:paraId="20E045D6" w14:textId="326E528C" w:rsidR="0056224D" w:rsidRDefault="00FA4523" w:rsidP="00226F9A">
      <w:pPr>
        <w:autoSpaceDE w:val="0"/>
        <w:autoSpaceDN w:val="0"/>
        <w:adjustRightInd w:val="0"/>
        <w:ind w:firstLine="567"/>
        <w:jc w:val="both"/>
      </w:pPr>
      <w:r w:rsidRPr="00FA4523">
        <w:t>Проектом бюджета бюджетные ассигнования предусмотрены по подразделу 0310 «Защита населения и территории от чрезвычайных ситуаций природного и техногенного характера, пожарная безопасность» на 20</w:t>
      </w:r>
      <w:r w:rsidR="00687CB2">
        <w:t>24</w:t>
      </w:r>
      <w:r w:rsidRPr="00FA4523">
        <w:t xml:space="preserve"> год в сумме </w:t>
      </w:r>
      <w:r>
        <w:t>30</w:t>
      </w:r>
      <w:r w:rsidRPr="00FA4523">
        <w:t xml:space="preserve"> тыс. руб., на 202</w:t>
      </w:r>
      <w:r w:rsidR="00687CB2">
        <w:t>5</w:t>
      </w:r>
      <w:r w:rsidRPr="00FA4523">
        <w:t>-202</w:t>
      </w:r>
      <w:r w:rsidR="00687CB2">
        <w:t>6</w:t>
      </w:r>
      <w:r w:rsidRPr="00FA4523">
        <w:t xml:space="preserve"> годы в сумме по </w:t>
      </w:r>
      <w:r>
        <w:t>20</w:t>
      </w:r>
      <w:r w:rsidRPr="00FA4523">
        <w:t xml:space="preserve"> тыс. руб. ежегодно на оплату договора по опахиванию </w:t>
      </w:r>
      <w:r>
        <w:t>границ села</w:t>
      </w:r>
      <w:r w:rsidRPr="00FA4523">
        <w:t xml:space="preserve"> </w:t>
      </w:r>
      <w:r>
        <w:t xml:space="preserve">для </w:t>
      </w:r>
      <w:r>
        <w:lastRenderedPageBreak/>
        <w:t xml:space="preserve">создания </w:t>
      </w:r>
      <w:r w:rsidRPr="00FA4523">
        <w:t>минерализованн</w:t>
      </w:r>
      <w:r>
        <w:t>ой</w:t>
      </w:r>
      <w:r w:rsidRPr="00FA4523">
        <w:t xml:space="preserve"> полосы.  В 202</w:t>
      </w:r>
      <w:r w:rsidR="00687CB2">
        <w:t>3</w:t>
      </w:r>
      <w:r w:rsidRPr="00FA4523">
        <w:t xml:space="preserve"> году </w:t>
      </w:r>
      <w:r w:rsidR="008B6404">
        <w:t xml:space="preserve">ожидаемое </w:t>
      </w:r>
      <w:r w:rsidRPr="00FA4523">
        <w:t xml:space="preserve">исполнение </w:t>
      </w:r>
      <w:r w:rsidR="008B6404">
        <w:t xml:space="preserve">по данным мероприятиям </w:t>
      </w:r>
      <w:r w:rsidR="00687CB2">
        <w:t>3</w:t>
      </w:r>
      <w:r w:rsidR="008B6404">
        <w:t>0</w:t>
      </w:r>
      <w:r w:rsidR="00687CB2">
        <w:t xml:space="preserve"> </w:t>
      </w:r>
      <w:r w:rsidRPr="00FA4523">
        <w:t>тыс.</w:t>
      </w:r>
      <w:r w:rsidR="005A36A1">
        <w:t xml:space="preserve"> </w:t>
      </w:r>
      <w:r w:rsidRPr="00FA4523">
        <w:t xml:space="preserve">руб. </w:t>
      </w:r>
    </w:p>
    <w:p w14:paraId="56E3D997" w14:textId="77777777" w:rsidR="0056224D" w:rsidRDefault="0056224D" w:rsidP="00D80372">
      <w:pPr>
        <w:pStyle w:val="a9"/>
        <w:spacing w:after="0"/>
        <w:ind w:left="360"/>
        <w:jc w:val="center"/>
        <w:rPr>
          <w:b/>
          <w:color w:val="000000"/>
          <w:u w:val="single"/>
        </w:rPr>
      </w:pPr>
    </w:p>
    <w:p w14:paraId="7E1F6532" w14:textId="77777777" w:rsidR="00D80372" w:rsidRPr="001F2B5C" w:rsidRDefault="00D80372" w:rsidP="00D80372">
      <w:pPr>
        <w:pStyle w:val="a9"/>
        <w:spacing w:after="0"/>
        <w:ind w:left="360"/>
        <w:jc w:val="center"/>
        <w:rPr>
          <w:b/>
          <w:color w:val="000000"/>
          <w:u w:val="single"/>
        </w:rPr>
      </w:pPr>
      <w:r w:rsidRPr="001F2B5C">
        <w:rPr>
          <w:b/>
          <w:color w:val="000000"/>
          <w:u w:val="single"/>
        </w:rPr>
        <w:t>Раздел 04 «Национальная экономика»</w:t>
      </w:r>
    </w:p>
    <w:p w14:paraId="43D84724" w14:textId="7C386AC3" w:rsidR="00226F9A" w:rsidRDefault="00226F9A" w:rsidP="00226F9A">
      <w:pPr>
        <w:ind w:firstLine="567"/>
        <w:jc w:val="both"/>
      </w:pPr>
      <w:r>
        <w:t>Ожидаемое исполнение в 2023 году составит 2201,4 тыс. руб. Проектом бюджета предлагается утвердить расходы на 2024 год в объеме 1538,9 тыс. руб., или 69,9% к оценке 2023 года, на 2025 год – 1583,6 тыс. руб., на 2026 год – 1636,3 тыс. руб. Удельный вес расходов на национальную экономику в общем объеме расходов бюджета поселения в 2024 году составит 9,3%, в 2025 году – 12,9%, в 2026 году – 13,7%.</w:t>
      </w:r>
    </w:p>
    <w:p w14:paraId="0AFF4055" w14:textId="77777777" w:rsidR="00D80372" w:rsidRDefault="00D80372" w:rsidP="00D80372">
      <w:pPr>
        <w:autoSpaceDE w:val="0"/>
        <w:autoSpaceDN w:val="0"/>
        <w:adjustRightInd w:val="0"/>
        <w:ind w:firstLine="540"/>
        <w:jc w:val="both"/>
      </w:pPr>
      <w:r>
        <w:t>В составе вышеуказанных ассигнований предусмотрены расходы:</w:t>
      </w:r>
    </w:p>
    <w:p w14:paraId="7D53A423" w14:textId="3454E802"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- </w:t>
      </w:r>
      <w:r>
        <w:rPr>
          <w:b/>
        </w:rPr>
        <w:t>по подразделу 0401 «Общеэкономические вопросы»</w:t>
      </w:r>
      <w:r w:rsidRPr="0013018F">
        <w:rPr>
          <w:color w:val="000000"/>
        </w:rPr>
        <w:t xml:space="preserve"> </w:t>
      </w:r>
      <w:r>
        <w:rPr>
          <w:color w:val="000000"/>
        </w:rPr>
        <w:t xml:space="preserve">расходы </w:t>
      </w:r>
      <w:r w:rsidRPr="0013018F">
        <w:rPr>
          <w:color w:val="000000"/>
        </w:rPr>
        <w:t xml:space="preserve">на осуществление отдельных госполномочий </w:t>
      </w:r>
      <w:r w:rsidR="008B6404" w:rsidRPr="008B6404">
        <w:rPr>
          <w:color w:val="000000"/>
        </w:rPr>
        <w:t xml:space="preserve">в сфере водоснабжения и водоотведения </w:t>
      </w:r>
      <w:r w:rsidRPr="0013018F">
        <w:rPr>
          <w:color w:val="000000"/>
        </w:rPr>
        <w:t xml:space="preserve">в </w:t>
      </w:r>
      <w:r>
        <w:rPr>
          <w:color w:val="000000"/>
        </w:rPr>
        <w:t>202</w:t>
      </w:r>
      <w:r w:rsidR="00226F9A">
        <w:rPr>
          <w:color w:val="000000"/>
        </w:rPr>
        <w:t>3</w:t>
      </w:r>
      <w:r w:rsidRPr="0013018F">
        <w:rPr>
          <w:color w:val="000000"/>
        </w:rPr>
        <w:t xml:space="preserve">г. ожидаются </w:t>
      </w:r>
      <w:r>
        <w:rPr>
          <w:color w:val="000000"/>
        </w:rPr>
        <w:t xml:space="preserve">в объеме </w:t>
      </w:r>
      <w:r w:rsidR="00226F9A">
        <w:rPr>
          <w:color w:val="000000"/>
        </w:rPr>
        <w:t>65</w:t>
      </w:r>
      <w:r w:rsidR="004B7319">
        <w:rPr>
          <w:color w:val="000000"/>
        </w:rPr>
        <w:t xml:space="preserve"> </w:t>
      </w:r>
      <w:r w:rsidRPr="0013018F">
        <w:rPr>
          <w:color w:val="000000"/>
        </w:rPr>
        <w:t>тыс. руб.</w:t>
      </w:r>
      <w:r>
        <w:rPr>
          <w:color w:val="000000"/>
        </w:rPr>
        <w:t xml:space="preserve"> Н</w:t>
      </w:r>
      <w:r w:rsidRPr="0013018F">
        <w:rPr>
          <w:color w:val="000000"/>
        </w:rPr>
        <w:t xml:space="preserve">а </w:t>
      </w:r>
      <w:r w:rsidR="000E76FA">
        <w:rPr>
          <w:color w:val="000000"/>
        </w:rPr>
        <w:t>202</w:t>
      </w:r>
      <w:r w:rsidR="00226F9A">
        <w:rPr>
          <w:color w:val="000000"/>
        </w:rPr>
        <w:t>4</w:t>
      </w:r>
      <w:r w:rsidR="004B7319">
        <w:rPr>
          <w:color w:val="000000"/>
        </w:rPr>
        <w:t xml:space="preserve"> год и плановый период </w:t>
      </w:r>
      <w:r w:rsidR="000E76FA">
        <w:rPr>
          <w:color w:val="000000"/>
        </w:rPr>
        <w:t>202</w:t>
      </w:r>
      <w:r w:rsidR="00226F9A">
        <w:rPr>
          <w:color w:val="000000"/>
        </w:rPr>
        <w:t>5</w:t>
      </w:r>
      <w:r w:rsidRPr="0013018F">
        <w:rPr>
          <w:color w:val="000000"/>
        </w:rPr>
        <w:t xml:space="preserve"> и </w:t>
      </w:r>
      <w:r w:rsidR="000E76FA">
        <w:rPr>
          <w:color w:val="000000"/>
        </w:rPr>
        <w:t>202</w:t>
      </w:r>
      <w:r w:rsidR="00226F9A">
        <w:rPr>
          <w:color w:val="000000"/>
        </w:rPr>
        <w:t>6</w:t>
      </w:r>
      <w:r w:rsidRPr="0013018F">
        <w:rPr>
          <w:color w:val="000000"/>
        </w:rPr>
        <w:t xml:space="preserve">г. </w:t>
      </w:r>
      <w:r>
        <w:rPr>
          <w:color w:val="000000"/>
        </w:rPr>
        <w:t xml:space="preserve">указанные расходы </w:t>
      </w:r>
      <w:r w:rsidRPr="0013018F">
        <w:rPr>
          <w:color w:val="000000"/>
        </w:rPr>
        <w:t>прогнозируются в объеме</w:t>
      </w:r>
      <w:r>
        <w:rPr>
          <w:color w:val="000000"/>
        </w:rPr>
        <w:t xml:space="preserve"> по </w:t>
      </w:r>
      <w:r w:rsidR="00226F9A">
        <w:rPr>
          <w:color w:val="000000"/>
        </w:rPr>
        <w:t>65,8</w:t>
      </w:r>
      <w:r w:rsidR="004B7319">
        <w:rPr>
          <w:color w:val="000000"/>
        </w:rPr>
        <w:t xml:space="preserve"> </w:t>
      </w:r>
      <w:r w:rsidRPr="0013018F">
        <w:rPr>
          <w:color w:val="000000"/>
        </w:rPr>
        <w:t>тыс. руб.</w:t>
      </w:r>
      <w:r>
        <w:rPr>
          <w:color w:val="000000"/>
        </w:rPr>
        <w:t xml:space="preserve"> ежегодно</w:t>
      </w:r>
      <w:r w:rsidR="00C718F6">
        <w:rPr>
          <w:color w:val="000000"/>
        </w:rPr>
        <w:t>, из них на оплату труда 62,7 тыс. руб., на закупку товаров, работ и услуг – 3,1 тыс. руб.</w:t>
      </w:r>
      <w:r w:rsidRPr="0013018F">
        <w:rPr>
          <w:color w:val="000000"/>
        </w:rPr>
        <w:t xml:space="preserve"> Расходы на выполнение госполномочий отражены в размере запланированной субвенции на эти цели</w:t>
      </w:r>
      <w:r>
        <w:rPr>
          <w:color w:val="000000"/>
        </w:rPr>
        <w:t xml:space="preserve"> </w:t>
      </w:r>
      <w:r w:rsidRPr="00DA12C6">
        <w:rPr>
          <w:color w:val="000000"/>
        </w:rPr>
        <w:t xml:space="preserve">на основании проекта закона Иркутской области «Об областном бюджете на </w:t>
      </w:r>
      <w:r w:rsidR="000E76FA">
        <w:rPr>
          <w:color w:val="000000"/>
        </w:rPr>
        <w:t>202</w:t>
      </w:r>
      <w:r w:rsidR="00C718F6">
        <w:rPr>
          <w:color w:val="000000"/>
        </w:rPr>
        <w:t>4</w:t>
      </w:r>
      <w:r w:rsidRPr="00DA12C6">
        <w:rPr>
          <w:color w:val="000000"/>
        </w:rPr>
        <w:t xml:space="preserve"> год и плановый период </w:t>
      </w:r>
      <w:r w:rsidR="000E76FA">
        <w:rPr>
          <w:color w:val="000000"/>
        </w:rPr>
        <w:t>202</w:t>
      </w:r>
      <w:r w:rsidR="00C718F6">
        <w:rPr>
          <w:color w:val="000000"/>
        </w:rPr>
        <w:t>5</w:t>
      </w:r>
      <w:r w:rsidRPr="00DA12C6">
        <w:rPr>
          <w:color w:val="000000"/>
        </w:rPr>
        <w:t xml:space="preserve"> и </w:t>
      </w:r>
      <w:r w:rsidR="000E76FA">
        <w:rPr>
          <w:color w:val="000000"/>
        </w:rPr>
        <w:t>202</w:t>
      </w:r>
      <w:r w:rsidR="00C718F6">
        <w:rPr>
          <w:color w:val="000000"/>
        </w:rPr>
        <w:t xml:space="preserve">6 </w:t>
      </w:r>
      <w:r w:rsidRPr="00DA12C6">
        <w:rPr>
          <w:color w:val="000000"/>
        </w:rPr>
        <w:t>годов».</w:t>
      </w:r>
    </w:p>
    <w:p w14:paraId="0CCCD9D0" w14:textId="4BE65567" w:rsidR="00497B84" w:rsidRDefault="004B7319" w:rsidP="004B7319">
      <w:pPr>
        <w:ind w:firstLine="708"/>
        <w:jc w:val="both"/>
      </w:pPr>
      <w:r w:rsidRPr="00295D19">
        <w:t xml:space="preserve">- </w:t>
      </w:r>
      <w:r w:rsidRPr="00295D19">
        <w:rPr>
          <w:b/>
        </w:rPr>
        <w:t>по подразделу 0409 «Дорожное хозяйство»</w:t>
      </w:r>
      <w:r w:rsidRPr="00295D19">
        <w:t xml:space="preserve"> в соответствии с п. </w:t>
      </w:r>
      <w:r>
        <w:t>5</w:t>
      </w:r>
      <w:r w:rsidRPr="00295D19">
        <w:t xml:space="preserve"> ст. 179.4 БК РФ на исполнение расходных обязательств за счет бюджетных ассигнований Дорожного фонда </w:t>
      </w:r>
      <w:proofErr w:type="spellStart"/>
      <w:r w:rsidR="007E530A">
        <w:t>Каразейского</w:t>
      </w:r>
      <w:proofErr w:type="spellEnd"/>
      <w:r w:rsidRPr="00295D19">
        <w:t xml:space="preserve"> МО предлагается направить в </w:t>
      </w:r>
      <w:r w:rsidR="000E76FA">
        <w:t>202</w:t>
      </w:r>
      <w:r w:rsidR="00C718F6">
        <w:t>4</w:t>
      </w:r>
      <w:r w:rsidR="007E530A">
        <w:t xml:space="preserve"> </w:t>
      </w:r>
      <w:r w:rsidRPr="00295D19">
        <w:t xml:space="preserve">году </w:t>
      </w:r>
      <w:r w:rsidR="007E530A">
        <w:t>1</w:t>
      </w:r>
      <w:r w:rsidR="00C718F6">
        <w:t>473,1</w:t>
      </w:r>
      <w:r w:rsidRPr="00295D19">
        <w:t xml:space="preserve"> тыс. руб.</w:t>
      </w:r>
      <w:r w:rsidRPr="00EC3EBD">
        <w:rPr>
          <w:color w:val="FF0000"/>
        </w:rPr>
        <w:t xml:space="preserve"> </w:t>
      </w:r>
      <w:r w:rsidRPr="00295D19">
        <w:t>Согласно оценке ожидаемого исполнения бюджета, в 20</w:t>
      </w:r>
      <w:r>
        <w:t>2</w:t>
      </w:r>
      <w:r w:rsidR="00C718F6">
        <w:t>3</w:t>
      </w:r>
      <w:r w:rsidRPr="00295D19">
        <w:t xml:space="preserve">г. на содержание автомобильных дорог местного значения будет направлено </w:t>
      </w:r>
      <w:r w:rsidR="00C718F6">
        <w:t>2136,4</w:t>
      </w:r>
      <w:r w:rsidRPr="00295D19">
        <w:t xml:space="preserve"> тыс. руб.</w:t>
      </w:r>
      <w:r w:rsidR="007E530A">
        <w:t xml:space="preserve"> </w:t>
      </w:r>
    </w:p>
    <w:p w14:paraId="23D35CE8" w14:textId="6FF35893" w:rsidR="00C718F6" w:rsidRDefault="00C718F6" w:rsidP="00C718F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На 2025 год расходы по данному подразделу предлагается утвердить в объеме 1517,8 тыс. руб. что составит 103% к прогнозу 2024г., на 2026 год – 1570,5 тыс. руб., или 103,5% к прогнозу 2025г.</w:t>
      </w:r>
    </w:p>
    <w:p w14:paraId="30039433" w14:textId="77777777" w:rsidR="004B7319" w:rsidRPr="00295D19" w:rsidRDefault="004B7319" w:rsidP="00C718F6">
      <w:pPr>
        <w:ind w:firstLine="567"/>
        <w:jc w:val="both"/>
      </w:pPr>
      <w:r w:rsidRPr="00295D19">
        <w:t xml:space="preserve">Расходы на дорожное хозяйство запланированы в размере плановых поступлений доходов от уплаты акцизов по подакцизным товарам.  </w:t>
      </w:r>
    </w:p>
    <w:p w14:paraId="52C15ABC" w14:textId="77777777" w:rsidR="0091026F" w:rsidRDefault="0091026F" w:rsidP="00615CB4">
      <w:pPr>
        <w:ind w:firstLine="708"/>
        <w:jc w:val="center"/>
        <w:rPr>
          <w:b/>
          <w:u w:val="single"/>
        </w:rPr>
      </w:pPr>
    </w:p>
    <w:p w14:paraId="33FAAF53" w14:textId="191EEEF1" w:rsidR="00615CB4" w:rsidRPr="00615CB4" w:rsidRDefault="00615CB4" w:rsidP="00615CB4">
      <w:pPr>
        <w:ind w:firstLine="708"/>
        <w:jc w:val="center"/>
        <w:rPr>
          <w:b/>
          <w:u w:val="single"/>
        </w:rPr>
      </w:pPr>
      <w:r w:rsidRPr="00615CB4">
        <w:rPr>
          <w:b/>
          <w:u w:val="single"/>
        </w:rPr>
        <w:t>Раздел 05 «Жилищно-коммунальное хозяйство»</w:t>
      </w:r>
    </w:p>
    <w:p w14:paraId="3324E250" w14:textId="5BBA0ECE" w:rsidR="00615CB4" w:rsidRDefault="00615CB4" w:rsidP="00615CB4">
      <w:pPr>
        <w:autoSpaceDE w:val="0"/>
        <w:autoSpaceDN w:val="0"/>
        <w:adjustRightInd w:val="0"/>
        <w:ind w:firstLine="539"/>
        <w:jc w:val="both"/>
      </w:pPr>
      <w:r w:rsidRPr="0005171F">
        <w:t xml:space="preserve">Расходы по данному подразделу планируются на осуществление мероприятий в области коммунального хозяйства и благоустройства. </w:t>
      </w:r>
      <w:r w:rsidRPr="00E92C7E">
        <w:t xml:space="preserve">Ожидаемое исполнение за </w:t>
      </w:r>
      <w:r>
        <w:t>202</w:t>
      </w:r>
      <w:r w:rsidR="00043EAE">
        <w:t>3</w:t>
      </w:r>
      <w:r w:rsidR="00171165">
        <w:t xml:space="preserve"> </w:t>
      </w:r>
      <w:r w:rsidRPr="00E92C7E">
        <w:t xml:space="preserve">год </w:t>
      </w:r>
      <w:r>
        <w:t>по разделу</w:t>
      </w:r>
      <w:r w:rsidRPr="009A6C8B">
        <w:t xml:space="preserve"> 05</w:t>
      </w:r>
      <w:r>
        <w:t xml:space="preserve"> </w:t>
      </w:r>
      <w:r w:rsidRPr="00E92C7E">
        <w:t xml:space="preserve">составит </w:t>
      </w:r>
      <w:r w:rsidR="00043EAE">
        <w:t>2565</w:t>
      </w:r>
      <w:r>
        <w:t xml:space="preserve"> </w:t>
      </w:r>
      <w:r w:rsidRPr="00E92C7E">
        <w:t>тыс. руб</w:t>
      </w:r>
      <w:r w:rsidR="00043EAE">
        <w:t>.</w:t>
      </w:r>
      <w:r w:rsidRPr="00E92C7E">
        <w:t xml:space="preserve"> Расходы на </w:t>
      </w:r>
      <w:r w:rsidR="000E76FA">
        <w:t>202</w:t>
      </w:r>
      <w:r w:rsidR="00043EAE">
        <w:t>4</w:t>
      </w:r>
      <w:r w:rsidRPr="00E92C7E">
        <w:t xml:space="preserve"> год</w:t>
      </w:r>
      <w:r>
        <w:t xml:space="preserve"> </w:t>
      </w:r>
      <w:r w:rsidRPr="00E92C7E">
        <w:t>по данному разделу планируется утвердить</w:t>
      </w:r>
      <w:r w:rsidRPr="00E92C7E">
        <w:rPr>
          <w:b/>
        </w:rPr>
        <w:t xml:space="preserve"> </w:t>
      </w:r>
      <w:r w:rsidRPr="00E92C7E">
        <w:t xml:space="preserve">в сумме </w:t>
      </w:r>
      <w:r w:rsidR="00043EAE">
        <w:t>2800,6</w:t>
      </w:r>
      <w:r w:rsidRPr="00E92C7E">
        <w:t xml:space="preserve"> тыс. рублей, что составит </w:t>
      </w:r>
      <w:r w:rsidR="00043EAE">
        <w:t>109,2</w:t>
      </w:r>
      <w:r w:rsidRPr="00E92C7E">
        <w:t xml:space="preserve">% к уровню </w:t>
      </w:r>
      <w:r>
        <w:t>202</w:t>
      </w:r>
      <w:r w:rsidR="00043EAE">
        <w:t>3</w:t>
      </w:r>
      <w:r>
        <w:t xml:space="preserve"> года, на </w:t>
      </w:r>
      <w:r w:rsidR="000E76FA">
        <w:t>202</w:t>
      </w:r>
      <w:r w:rsidR="00043EAE">
        <w:t>5</w:t>
      </w:r>
      <w:r>
        <w:t xml:space="preserve">г. – </w:t>
      </w:r>
      <w:r w:rsidR="00043EAE">
        <w:t>600,7</w:t>
      </w:r>
      <w:r>
        <w:t xml:space="preserve">тыс. руб., на </w:t>
      </w:r>
      <w:r w:rsidR="000E76FA">
        <w:t>202</w:t>
      </w:r>
      <w:r w:rsidR="00043EAE">
        <w:t>6</w:t>
      </w:r>
      <w:r>
        <w:t xml:space="preserve">г. – </w:t>
      </w:r>
      <w:r w:rsidR="00043EAE">
        <w:t>653,5</w:t>
      </w:r>
      <w:r>
        <w:t xml:space="preserve"> тыс. руб.</w:t>
      </w:r>
      <w:r w:rsidR="00173F8B" w:rsidRPr="00173F8B">
        <w:t xml:space="preserve"> Удельный вес расходов на жилищно-коммунальное хозяйство в общем объеме расходов бюджета поселения в 202</w:t>
      </w:r>
      <w:r w:rsidR="00043EAE">
        <w:t>3</w:t>
      </w:r>
      <w:r w:rsidR="00173F8B" w:rsidRPr="00173F8B">
        <w:t xml:space="preserve"> году составляет </w:t>
      </w:r>
      <w:r w:rsidR="00043EAE">
        <w:t>11,7</w:t>
      </w:r>
      <w:r w:rsidR="00173F8B" w:rsidRPr="00173F8B">
        <w:t>%, в 202</w:t>
      </w:r>
      <w:r w:rsidR="00043EAE">
        <w:t>4</w:t>
      </w:r>
      <w:r w:rsidR="00173F8B" w:rsidRPr="00173F8B">
        <w:t xml:space="preserve"> году – </w:t>
      </w:r>
      <w:r w:rsidR="00043EAE">
        <w:t>16,8</w:t>
      </w:r>
      <w:r w:rsidR="00173F8B" w:rsidRPr="00173F8B">
        <w:t>%, в 202</w:t>
      </w:r>
      <w:r w:rsidR="00043EAE">
        <w:t>5</w:t>
      </w:r>
      <w:r w:rsidR="00173F8B" w:rsidRPr="00173F8B">
        <w:t xml:space="preserve"> году – </w:t>
      </w:r>
      <w:r w:rsidR="00043EAE">
        <w:t>4,9</w:t>
      </w:r>
      <w:r w:rsidR="00173F8B" w:rsidRPr="00173F8B">
        <w:t>%, в 202</w:t>
      </w:r>
      <w:r w:rsidR="00043EAE">
        <w:t>6</w:t>
      </w:r>
      <w:r w:rsidR="00173F8B" w:rsidRPr="00173F8B">
        <w:t xml:space="preserve"> году – </w:t>
      </w:r>
      <w:r w:rsidR="00043EAE">
        <w:t>5,5</w:t>
      </w:r>
      <w:r w:rsidR="00173F8B" w:rsidRPr="00173F8B">
        <w:t>%.</w:t>
      </w:r>
    </w:p>
    <w:p w14:paraId="135895C2" w14:textId="4F3E4EC6" w:rsidR="00F5713F" w:rsidRDefault="00754873" w:rsidP="00754873">
      <w:pPr>
        <w:autoSpaceDE w:val="0"/>
        <w:autoSpaceDN w:val="0"/>
        <w:adjustRightInd w:val="0"/>
        <w:ind w:firstLine="539"/>
        <w:jc w:val="both"/>
      </w:pPr>
      <w:r w:rsidRPr="00DD2B09">
        <w:rPr>
          <w:b/>
        </w:rPr>
        <w:t>По подразделу 0502 «Коммунальное хозяйство»</w:t>
      </w:r>
      <w:r>
        <w:t xml:space="preserve"> </w:t>
      </w:r>
      <w:r w:rsidR="00F5713F">
        <w:t>на 2024 год проектом бюджета расходы предусмотрены в сумме 45 тыс. руб., или на уровне ожидаемых расходов бюджета в 2023 году. Расходы предусмотрены на оплату за электроэнергию водонапорных башен.</w:t>
      </w:r>
      <w:r w:rsidR="007F46E7">
        <w:t xml:space="preserve"> На плановый период 2025-2026 годов расходы предусмотрены в сумме 36,1 тыс. руб. и 36,9 тыс. руб. соответственно на эти же цели. </w:t>
      </w:r>
    </w:p>
    <w:p w14:paraId="7D15EACF" w14:textId="62A5176E" w:rsidR="00B6462A" w:rsidRPr="008C0D91" w:rsidRDefault="00FB471D" w:rsidP="00B6462A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bookmarkStart w:id="6" w:name="_Hlk151375770"/>
      <w:r w:rsidRPr="00F2781C">
        <w:t>По подразделу</w:t>
      </w:r>
      <w:r w:rsidRPr="00C71BC0">
        <w:rPr>
          <w:b/>
        </w:rPr>
        <w:t xml:space="preserve"> 0503</w:t>
      </w:r>
      <w:r w:rsidRPr="00C71BC0">
        <w:t xml:space="preserve"> «</w:t>
      </w:r>
      <w:r w:rsidRPr="00C71BC0">
        <w:rPr>
          <w:b/>
        </w:rPr>
        <w:t xml:space="preserve">Благоустройство» </w:t>
      </w:r>
      <w:r w:rsidRPr="00BE1621">
        <w:t>ожидаемое исполнение</w:t>
      </w:r>
      <w:r>
        <w:t xml:space="preserve"> в 202</w:t>
      </w:r>
      <w:r w:rsidR="007F46E7">
        <w:t>3</w:t>
      </w:r>
      <w:r>
        <w:t xml:space="preserve"> году составит </w:t>
      </w:r>
      <w:r w:rsidR="007F46E7">
        <w:t>2520</w:t>
      </w:r>
      <w:r>
        <w:t xml:space="preserve"> тыс. руб.</w:t>
      </w:r>
      <w:r w:rsidR="00880839">
        <w:t xml:space="preserve"> На </w:t>
      </w:r>
      <w:r w:rsidR="000E76FA">
        <w:t>202</w:t>
      </w:r>
      <w:r w:rsidR="007F46E7">
        <w:t>4</w:t>
      </w:r>
      <w:r w:rsidR="00880839">
        <w:t xml:space="preserve"> год проектом бюджета расходы предусмотрены в сумме </w:t>
      </w:r>
      <w:r w:rsidR="007F46E7">
        <w:t>2755,6</w:t>
      </w:r>
      <w:r w:rsidR="00880839">
        <w:t xml:space="preserve"> тыс.</w:t>
      </w:r>
      <w:r w:rsidR="00B92F6E">
        <w:t xml:space="preserve">, </w:t>
      </w:r>
      <w:r w:rsidR="00880839">
        <w:t>руб.</w:t>
      </w:r>
      <w:r w:rsidR="007D1471">
        <w:t>,</w:t>
      </w:r>
      <w:r w:rsidR="00B92F6E">
        <w:t xml:space="preserve"> или </w:t>
      </w:r>
      <w:r w:rsidR="007F46E7">
        <w:t>109,4</w:t>
      </w:r>
      <w:r w:rsidR="00B92F6E">
        <w:t>% к оценке 202</w:t>
      </w:r>
      <w:r w:rsidR="007F46E7">
        <w:t>3</w:t>
      </w:r>
      <w:r w:rsidR="00B92F6E">
        <w:t xml:space="preserve"> года</w:t>
      </w:r>
      <w:r w:rsidR="00B6462A">
        <w:t xml:space="preserve">. По данному подразделу запланированы расходы на оплату уличного освещения, аренду опор. Также предусмотрены расходы за счет средств субсидий из областного бюджета на реализацию мероприятий перечня проектов народных инициатив в сумме 366,6 тыс. руб. </w:t>
      </w:r>
      <w:r w:rsidR="00B6462A" w:rsidRPr="002C07CB">
        <w:rPr>
          <w:b/>
          <w:bCs/>
          <w:u w:val="single"/>
        </w:rPr>
        <w:t>и на реализацию мероприятий, направленных на снижение негативного воздействия отходов на окружающую среду в сумме 2239 тыс.</w:t>
      </w:r>
      <w:r w:rsidR="00B6462A" w:rsidRPr="008C0D91">
        <w:rPr>
          <w:b/>
          <w:bCs/>
        </w:rPr>
        <w:t xml:space="preserve"> руб. </w:t>
      </w:r>
      <w:r w:rsidR="008C0D91">
        <w:rPr>
          <w:b/>
          <w:bCs/>
        </w:rPr>
        <w:t xml:space="preserve">Однако, согласно правилам формирования и применения кодов бюджетной классификации, утвержденным приказом Минфина России от 24.05.2022г. №82н </w:t>
      </w:r>
      <w:r w:rsidR="00D80851">
        <w:rPr>
          <w:b/>
          <w:bCs/>
        </w:rPr>
        <w:t xml:space="preserve">«О Порядке формирования и применения кодов бюджетной классификации </w:t>
      </w:r>
      <w:r w:rsidR="002C07CB">
        <w:rPr>
          <w:b/>
          <w:bCs/>
        </w:rPr>
        <w:t xml:space="preserve">РФ, их структуре и принципах их назначения» </w:t>
      </w:r>
      <w:r w:rsidR="00D80851">
        <w:rPr>
          <w:b/>
          <w:bCs/>
        </w:rPr>
        <w:t xml:space="preserve">расходы в области охраны окружающей среды </w:t>
      </w:r>
      <w:r w:rsidR="00D80851">
        <w:rPr>
          <w:b/>
          <w:bCs/>
        </w:rPr>
        <w:lastRenderedPageBreak/>
        <w:t xml:space="preserve">подлежат отражению по разделу 06 «Охрана окружающей среды» (подраздел 0605 «Другие вопросы в области охраны окружающей среды»). </w:t>
      </w:r>
    </w:p>
    <w:bookmarkEnd w:id="6"/>
    <w:p w14:paraId="4CDE0D05" w14:textId="74D651B6" w:rsidR="00B6462A" w:rsidRPr="00B7544D" w:rsidRDefault="00B7544D" w:rsidP="00B6462A">
      <w:pPr>
        <w:autoSpaceDE w:val="0"/>
        <w:autoSpaceDN w:val="0"/>
        <w:adjustRightInd w:val="0"/>
        <w:ind w:firstLine="539"/>
        <w:jc w:val="both"/>
      </w:pPr>
      <w:r w:rsidRPr="00B7544D">
        <w:t xml:space="preserve">На </w:t>
      </w:r>
      <w:r>
        <w:t>плановый период 2025 и 2026 годов бюджетные ассигнования предусмотрены в сумме 564,6 тыс. руб. и 616,6 тыс. руб. соответствен</w:t>
      </w:r>
      <w:r w:rsidR="008036FC">
        <w:t>но, из них за счет средств областной субсидии на реализацию мероприятий народных инициатив по 416,6 тыс. руб. ежегодно.</w:t>
      </w:r>
    </w:p>
    <w:p w14:paraId="2AAF9981" w14:textId="7DA66289" w:rsidR="00B6462A" w:rsidRDefault="00B6462A" w:rsidP="005759C5">
      <w:pPr>
        <w:autoSpaceDE w:val="0"/>
        <w:autoSpaceDN w:val="0"/>
        <w:adjustRightInd w:val="0"/>
        <w:ind w:firstLine="539"/>
        <w:jc w:val="both"/>
      </w:pPr>
    </w:p>
    <w:p w14:paraId="0FC7A283" w14:textId="77777777" w:rsidR="00D80372" w:rsidRDefault="00D80372" w:rsidP="00D80372">
      <w:pPr>
        <w:pStyle w:val="a9"/>
        <w:spacing w:after="0"/>
        <w:ind w:firstLine="539"/>
        <w:jc w:val="center"/>
        <w:rPr>
          <w:b/>
          <w:u w:val="single"/>
        </w:rPr>
      </w:pPr>
      <w:r>
        <w:rPr>
          <w:b/>
          <w:u w:val="single"/>
        </w:rPr>
        <w:t>Раздел 07 «Образование»</w:t>
      </w:r>
    </w:p>
    <w:p w14:paraId="78B24817" w14:textId="77777777" w:rsidR="00D80372" w:rsidRPr="00484943" w:rsidRDefault="00D80372" w:rsidP="00D80372">
      <w:pPr>
        <w:ind w:firstLine="567"/>
        <w:jc w:val="both"/>
      </w:pPr>
      <w:r w:rsidRPr="0006471A">
        <w:t>В данном разделе предусмотрены ассигнования по подразделу 0</w:t>
      </w:r>
      <w:r>
        <w:t xml:space="preserve">705 </w:t>
      </w:r>
      <w:r w:rsidRPr="00484943">
        <w:t>"Профессиональная подготовка, переподготовка и повышение квалификации"</w:t>
      </w:r>
      <w:r>
        <w:t>.</w:t>
      </w:r>
    </w:p>
    <w:p w14:paraId="6A8485A7" w14:textId="155695C8" w:rsidR="00D80372" w:rsidRDefault="00D80372" w:rsidP="00D80372">
      <w:pPr>
        <w:autoSpaceDE w:val="0"/>
        <w:autoSpaceDN w:val="0"/>
        <w:adjustRightInd w:val="0"/>
        <w:ind w:firstLine="539"/>
        <w:jc w:val="both"/>
      </w:pPr>
      <w:r>
        <w:t>О</w:t>
      </w:r>
      <w:r w:rsidRPr="002D679D">
        <w:t>жидаемое исполнение</w:t>
      </w:r>
      <w:r>
        <w:t xml:space="preserve"> в 202</w:t>
      </w:r>
      <w:r w:rsidR="002C61FD">
        <w:t>3</w:t>
      </w:r>
      <w:r>
        <w:t xml:space="preserve"> году составит </w:t>
      </w:r>
      <w:r w:rsidR="002C61FD">
        <w:t>10</w:t>
      </w:r>
      <w:r>
        <w:t xml:space="preserve"> тыс. руб., на </w:t>
      </w:r>
      <w:r w:rsidR="000E76FA">
        <w:t>202</w:t>
      </w:r>
      <w:r w:rsidR="002C61FD">
        <w:t>4</w:t>
      </w:r>
      <w:r>
        <w:t xml:space="preserve"> год и плановый период </w:t>
      </w:r>
      <w:r w:rsidR="000E76FA">
        <w:t>202</w:t>
      </w:r>
      <w:r w:rsidR="002C61FD">
        <w:t>5</w:t>
      </w:r>
      <w:r>
        <w:t>-</w:t>
      </w:r>
      <w:r w:rsidR="000E76FA">
        <w:t>202</w:t>
      </w:r>
      <w:r w:rsidR="002C61FD">
        <w:t>6</w:t>
      </w:r>
      <w:r>
        <w:t>гг. бюджетные ассигнования предусмотрены по 34 тыс. руб. ежегодно на повышение квалификации муниципальных служащих и работников культуры.</w:t>
      </w:r>
    </w:p>
    <w:p w14:paraId="790835B3" w14:textId="77777777" w:rsidR="006A1B1E" w:rsidRDefault="006A1B1E" w:rsidP="00D80372">
      <w:pPr>
        <w:autoSpaceDE w:val="0"/>
        <w:autoSpaceDN w:val="0"/>
        <w:adjustRightInd w:val="0"/>
        <w:ind w:firstLine="539"/>
        <w:jc w:val="both"/>
      </w:pPr>
    </w:p>
    <w:p w14:paraId="4B0112A8" w14:textId="77777777" w:rsidR="006A1B1E" w:rsidRPr="00696841" w:rsidRDefault="006A1B1E" w:rsidP="006A1B1E">
      <w:pPr>
        <w:pStyle w:val="a9"/>
        <w:spacing w:after="0"/>
        <w:ind w:firstLine="539"/>
        <w:jc w:val="center"/>
        <w:rPr>
          <w:b/>
          <w:u w:val="single"/>
        </w:rPr>
      </w:pPr>
      <w:r w:rsidRPr="00696841">
        <w:rPr>
          <w:b/>
          <w:u w:val="single"/>
        </w:rPr>
        <w:t>Раздел 08 «Культура и кинематография»</w:t>
      </w:r>
    </w:p>
    <w:p w14:paraId="04B4C701" w14:textId="148F81C0" w:rsidR="00CB0425" w:rsidRDefault="006A1B1E" w:rsidP="00CB0425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696841">
        <w:t xml:space="preserve">Расходы предусмотрены по подразделу </w:t>
      </w:r>
      <w:r w:rsidRPr="00696841">
        <w:rPr>
          <w:b/>
        </w:rPr>
        <w:t>0801 «Культура»</w:t>
      </w:r>
      <w:r w:rsidRPr="00696841">
        <w:t xml:space="preserve"> </w:t>
      </w:r>
      <w:r w:rsidR="00CB0425">
        <w:t xml:space="preserve">на 2024 год </w:t>
      </w:r>
      <w:r w:rsidRPr="00696841">
        <w:t xml:space="preserve">в сумме </w:t>
      </w:r>
      <w:r w:rsidR="00CB0425">
        <w:t>5580</w:t>
      </w:r>
      <w:r w:rsidRPr="00696841">
        <w:t xml:space="preserve"> тыс. рублей, </w:t>
      </w:r>
      <w:r>
        <w:t>что составит</w:t>
      </w:r>
      <w:r w:rsidR="00CB0425">
        <w:t xml:space="preserve"> 33,5</w:t>
      </w:r>
      <w:r w:rsidRPr="00696841">
        <w:t>% от всех расходов бюджета. Проектом бюджета предл</w:t>
      </w:r>
      <w:r>
        <w:t xml:space="preserve">агается утвердить расходы в </w:t>
      </w:r>
      <w:r w:rsidR="000E76FA">
        <w:t>202</w:t>
      </w:r>
      <w:r w:rsidR="00CB0425">
        <w:t>4</w:t>
      </w:r>
      <w:r w:rsidRPr="00696841">
        <w:t xml:space="preserve"> году</w:t>
      </w:r>
      <w:r>
        <w:t xml:space="preserve"> ниже ожидаемого исполнения 202</w:t>
      </w:r>
      <w:r w:rsidR="00CB0425">
        <w:t>3</w:t>
      </w:r>
      <w:r>
        <w:t xml:space="preserve"> </w:t>
      </w:r>
      <w:r w:rsidRPr="00696841">
        <w:t>года на</w:t>
      </w:r>
      <w:r>
        <w:t xml:space="preserve"> </w:t>
      </w:r>
      <w:r w:rsidR="00CB0425">
        <w:t>3022</w:t>
      </w:r>
      <w:r>
        <w:t xml:space="preserve"> </w:t>
      </w:r>
      <w:r w:rsidRPr="00696841">
        <w:t xml:space="preserve">тыс. рублей, или на </w:t>
      </w:r>
      <w:r w:rsidR="00CB0425">
        <w:t>35,2%</w:t>
      </w:r>
      <w:r w:rsidRPr="00696841">
        <w:t>.</w:t>
      </w:r>
      <w:r w:rsidRPr="00A441D3">
        <w:rPr>
          <w:color w:val="FF0000"/>
        </w:rPr>
        <w:t xml:space="preserve"> </w:t>
      </w:r>
    </w:p>
    <w:p w14:paraId="41F8C8CD" w14:textId="333EF800" w:rsidR="005C0B9B" w:rsidRDefault="006A1B1E" w:rsidP="00CB0425">
      <w:pPr>
        <w:autoSpaceDE w:val="0"/>
        <w:autoSpaceDN w:val="0"/>
        <w:adjustRightInd w:val="0"/>
        <w:ind w:firstLine="539"/>
        <w:jc w:val="both"/>
      </w:pPr>
      <w:r w:rsidRPr="00654617">
        <w:t xml:space="preserve">Из общих расходов на культуру в </w:t>
      </w:r>
      <w:r w:rsidR="000E76FA">
        <w:t>202</w:t>
      </w:r>
      <w:r w:rsidR="00CB0425">
        <w:t>4</w:t>
      </w:r>
      <w:r w:rsidRPr="00654617">
        <w:t xml:space="preserve"> году планируется направить на выплату заработной платы с учетом страховых взносов </w:t>
      </w:r>
      <w:r w:rsidR="004C3C0E">
        <w:t>8</w:t>
      </w:r>
      <w:r w:rsidR="00CB0425">
        <w:t>9,3</w:t>
      </w:r>
      <w:r w:rsidRPr="00654617">
        <w:t xml:space="preserve">%, или </w:t>
      </w:r>
      <w:r w:rsidR="00CB0425">
        <w:t>4984,8</w:t>
      </w:r>
      <w:r>
        <w:t xml:space="preserve"> тыс. руб</w:t>
      </w:r>
      <w:r w:rsidR="00A446BD">
        <w:t>.</w:t>
      </w:r>
      <w:r w:rsidR="006A2F75">
        <w:t>, на закупку товаров, работ и услуг для учреждения культуры – 587,2 тыс. руб., или 9,6%,</w:t>
      </w:r>
      <w:r w:rsidR="001E7201">
        <w:t xml:space="preserve"> в т.ч. на реализацию мероприятий перечня проектов народных инициатив – 50 тыс. руб.,  </w:t>
      </w:r>
      <w:r w:rsidR="006A2F75">
        <w:t xml:space="preserve"> на уплату иных платежей – 8 тыс. руб. </w:t>
      </w:r>
      <w:r>
        <w:t xml:space="preserve"> Согласно пояснительной записк</w:t>
      </w:r>
      <w:r w:rsidR="0080560C">
        <w:t>е</w:t>
      </w:r>
      <w:r>
        <w:t xml:space="preserve"> к проекту бюджета на выплату зарплаты и начислений на оплату труда расходы запланированы на </w:t>
      </w:r>
      <w:r w:rsidR="0080560C">
        <w:t xml:space="preserve">9 </w:t>
      </w:r>
      <w:r>
        <w:t>месяцев</w:t>
      </w:r>
      <w:r w:rsidR="00E37902">
        <w:t>,</w:t>
      </w:r>
      <w:r w:rsidR="006A2F75">
        <w:t xml:space="preserve"> </w:t>
      </w:r>
      <w:r w:rsidR="000E4EE2">
        <w:t>причем повышение</w:t>
      </w:r>
      <w:r w:rsidR="006A2F75">
        <w:t xml:space="preserve"> зарплаты работникам культуры при формировании проекта бюджета</w:t>
      </w:r>
      <w:r w:rsidR="000E4EE2">
        <w:t xml:space="preserve"> не учитывалось. Штатная численность работников учреждения культуры составляет 11 единиц. Письмо Министерства культуры Иркутской области от 03.10.2023г. № 02-56-2527/23 «О прогнозе среднемесячной заработной платы работников учреждений культуры на 2024 год» поселениям доведен прогноз средней заработной платы в сумме 53349,6 руб. Расчетно ГФОТ работников учреждения культуры составит </w:t>
      </w:r>
      <w:r w:rsidR="001308CC">
        <w:t xml:space="preserve">7042,6 тыс. руб., а с учетом страховых взносов  во внебюджетные фонды 9169,5 тыс. руб. </w:t>
      </w:r>
    </w:p>
    <w:p w14:paraId="0A764118" w14:textId="0A107088" w:rsidR="008405A0" w:rsidRDefault="005C0B9B" w:rsidP="00CB0425">
      <w:pPr>
        <w:autoSpaceDE w:val="0"/>
        <w:autoSpaceDN w:val="0"/>
        <w:adjustRightInd w:val="0"/>
        <w:ind w:firstLine="539"/>
        <w:jc w:val="both"/>
      </w:pPr>
      <w:r>
        <w:t>На 2025 год объем расходов предусмотрен в сумме 4408,4 тыс. руб., из них на оплату труда – 3747,5 тыс. руб.</w:t>
      </w:r>
      <w:r w:rsidR="000327B5">
        <w:t xml:space="preserve"> (на 6 месяцев)</w:t>
      </w:r>
      <w:r>
        <w:t>,</w:t>
      </w:r>
      <w:r w:rsidR="008405A0">
        <w:t xml:space="preserve"> на закупку товаров, работ и услуг – 656,8 тыс. руб. и уплату иных платежей – 4 тыс. руб.</w:t>
      </w:r>
    </w:p>
    <w:p w14:paraId="76E5C4ED" w14:textId="11BCEEEC" w:rsidR="008405A0" w:rsidRDefault="008405A0" w:rsidP="008405A0">
      <w:pPr>
        <w:autoSpaceDE w:val="0"/>
        <w:autoSpaceDN w:val="0"/>
        <w:adjustRightInd w:val="0"/>
        <w:ind w:firstLine="539"/>
        <w:jc w:val="both"/>
      </w:pPr>
      <w:r>
        <w:t>На 2026 год объем расходов предусмотрен в сумме 5097 тыс. руб., из них на оплату труда – 4459,1 тыс. руб.</w:t>
      </w:r>
      <w:r w:rsidR="000327B5">
        <w:t xml:space="preserve"> (на 7 месяцев)</w:t>
      </w:r>
      <w:r>
        <w:t>, на закупку товаров, работ и услуг – 633,9 тыс. руб. и уплату иных платежей – 4 тыс. руб</w:t>
      </w:r>
      <w:r w:rsidR="007F4744">
        <w:t>.</w:t>
      </w:r>
    </w:p>
    <w:p w14:paraId="5001F43D" w14:textId="77777777" w:rsidR="005F5D80" w:rsidRDefault="005F5D80" w:rsidP="005F5D80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>
        <w:rPr>
          <w:b/>
          <w:bCs/>
        </w:rPr>
        <w:t xml:space="preserve">Таким образом, объем необеспеченных обязательств по выплате заработной плате работникам культуры на 2024 год </w:t>
      </w:r>
      <w:r w:rsidRPr="001308CC">
        <w:rPr>
          <w:b/>
          <w:bCs/>
        </w:rPr>
        <w:t>составляет 4184,7 тыс. руб.</w:t>
      </w:r>
      <w:r>
        <w:rPr>
          <w:b/>
          <w:bCs/>
        </w:rPr>
        <w:t>, на 2025г. – 5422 тыс. руб., на 2026г. – 4710,4 тыс. руб.</w:t>
      </w:r>
    </w:p>
    <w:p w14:paraId="06A991CF" w14:textId="77777777" w:rsidR="005F5D80" w:rsidRDefault="005F5D80" w:rsidP="005F5D80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14:paraId="73A09C86" w14:textId="1C169A0F" w:rsidR="00D80372" w:rsidRDefault="00D80372" w:rsidP="00D80372">
      <w:pPr>
        <w:pStyle w:val="a9"/>
        <w:spacing w:after="0"/>
        <w:ind w:firstLine="708"/>
        <w:jc w:val="center"/>
        <w:rPr>
          <w:b/>
          <w:u w:val="single"/>
        </w:rPr>
      </w:pPr>
      <w:r w:rsidRPr="007B75BD">
        <w:rPr>
          <w:b/>
          <w:u w:val="single"/>
        </w:rPr>
        <w:t>Раздел 1</w:t>
      </w:r>
      <w:r>
        <w:rPr>
          <w:b/>
          <w:u w:val="single"/>
        </w:rPr>
        <w:t>0</w:t>
      </w:r>
      <w:r w:rsidRPr="007B75BD">
        <w:rPr>
          <w:b/>
          <w:u w:val="single"/>
        </w:rPr>
        <w:t xml:space="preserve"> «</w:t>
      </w:r>
      <w:r>
        <w:rPr>
          <w:b/>
          <w:u w:val="single"/>
        </w:rPr>
        <w:t>Социальная политика</w:t>
      </w:r>
      <w:r w:rsidRPr="007B75BD">
        <w:rPr>
          <w:b/>
          <w:u w:val="single"/>
        </w:rPr>
        <w:t>»</w:t>
      </w:r>
    </w:p>
    <w:p w14:paraId="73A1AD9F" w14:textId="5434BD9E" w:rsidR="00D80372" w:rsidRPr="00661869" w:rsidRDefault="00D80372" w:rsidP="00D80372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661869">
        <w:rPr>
          <w:bCs/>
        </w:rPr>
        <w:t xml:space="preserve">В данном разделе отражены расходы по подразделу 1001 «Пенсионное обеспечение» </w:t>
      </w:r>
      <w:r w:rsidRPr="00661869">
        <w:t xml:space="preserve">для выплаты </w:t>
      </w:r>
      <w:r w:rsidR="00365860" w:rsidRPr="00365860">
        <w:t>ежемесячной доплаты к трудовой пенсии лицам, замещавшим должности муниципальной службы</w:t>
      </w:r>
      <w:r>
        <w:t xml:space="preserve">, которых в </w:t>
      </w:r>
      <w:proofErr w:type="spellStart"/>
      <w:r>
        <w:t>Каразейском</w:t>
      </w:r>
      <w:proofErr w:type="spellEnd"/>
      <w:r>
        <w:t xml:space="preserve"> сельском поселении два человека.</w:t>
      </w:r>
    </w:p>
    <w:p w14:paraId="6AB70719" w14:textId="3A38F7D0" w:rsidR="00345200" w:rsidRDefault="00345200" w:rsidP="0034520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01E">
        <w:rPr>
          <w:b/>
          <w:bCs/>
        </w:rPr>
        <w:t>По подразделу 1001 «Пенсионное обеспечение»</w:t>
      </w:r>
      <w:r w:rsidRPr="00C6501E">
        <w:rPr>
          <w:bCs/>
        </w:rPr>
        <w:t xml:space="preserve"> ожидаемое исполнение за 202</w:t>
      </w:r>
      <w:r>
        <w:rPr>
          <w:bCs/>
        </w:rPr>
        <w:t>3</w:t>
      </w:r>
      <w:r w:rsidRPr="00C6501E">
        <w:rPr>
          <w:bCs/>
        </w:rPr>
        <w:t xml:space="preserve"> год составит </w:t>
      </w:r>
      <w:r>
        <w:rPr>
          <w:bCs/>
        </w:rPr>
        <w:t>365,7</w:t>
      </w:r>
      <w:r w:rsidRPr="00C6501E">
        <w:rPr>
          <w:bCs/>
        </w:rPr>
        <w:t xml:space="preserve">тыс. руб., что составит </w:t>
      </w:r>
      <w:r>
        <w:rPr>
          <w:bCs/>
        </w:rPr>
        <w:t>1,7</w:t>
      </w:r>
      <w:r w:rsidRPr="00C6501E">
        <w:rPr>
          <w:bCs/>
        </w:rPr>
        <w:t xml:space="preserve">% от общей суммы расходов бюджета. </w:t>
      </w:r>
      <w:r>
        <w:rPr>
          <w:bCs/>
        </w:rPr>
        <w:t xml:space="preserve">На 2024 год бюджетные ассигнования предусмотрены в сумме </w:t>
      </w:r>
      <w:r w:rsidRPr="00345200">
        <w:rPr>
          <w:bCs/>
        </w:rPr>
        <w:t>3</w:t>
      </w:r>
      <w:r>
        <w:rPr>
          <w:bCs/>
        </w:rPr>
        <w:t>00</w:t>
      </w:r>
      <w:r w:rsidRPr="00345200">
        <w:rPr>
          <w:bCs/>
        </w:rPr>
        <w:t xml:space="preserve"> тыс. руб.,</w:t>
      </w:r>
      <w:r>
        <w:rPr>
          <w:bCs/>
        </w:rPr>
        <w:t xml:space="preserve"> или 82% к оценке 2023 года. </w:t>
      </w:r>
      <w:r>
        <w:rPr>
          <w:b/>
        </w:rPr>
        <w:t xml:space="preserve">В пояснительной записке обоснования расчетов доплаты к пенсии отсутствуют. </w:t>
      </w:r>
      <w:r>
        <w:rPr>
          <w:bCs/>
        </w:rPr>
        <w:t xml:space="preserve">Величина прожиточного минимума установлена Постановлением Правительства Иркутской области от </w:t>
      </w:r>
      <w:r w:rsidR="00287D35">
        <w:rPr>
          <w:bCs/>
        </w:rPr>
        <w:t>15</w:t>
      </w:r>
      <w:r>
        <w:rPr>
          <w:bCs/>
        </w:rPr>
        <w:t xml:space="preserve"> сентября 202</w:t>
      </w:r>
      <w:r w:rsidR="00287D35">
        <w:rPr>
          <w:bCs/>
        </w:rPr>
        <w:t>3</w:t>
      </w:r>
      <w:r>
        <w:rPr>
          <w:bCs/>
        </w:rPr>
        <w:t xml:space="preserve">г. № </w:t>
      </w:r>
      <w:r w:rsidR="00287D35">
        <w:rPr>
          <w:bCs/>
        </w:rPr>
        <w:t>822</w:t>
      </w:r>
      <w:r>
        <w:rPr>
          <w:bCs/>
        </w:rPr>
        <w:t>-пп «Об установлении величины прожиточного минимума в Иркутской области на 202</w:t>
      </w:r>
      <w:r w:rsidR="00287D35">
        <w:rPr>
          <w:bCs/>
        </w:rPr>
        <w:t>4</w:t>
      </w:r>
      <w:r>
        <w:rPr>
          <w:bCs/>
        </w:rPr>
        <w:t>г.»   в сумме 1</w:t>
      </w:r>
      <w:r w:rsidR="00287D35">
        <w:rPr>
          <w:bCs/>
        </w:rPr>
        <w:t>6169</w:t>
      </w:r>
      <w:r>
        <w:rPr>
          <w:bCs/>
        </w:rPr>
        <w:t xml:space="preserve"> руб. Количество </w:t>
      </w:r>
      <w:r>
        <w:rPr>
          <w:bCs/>
        </w:rPr>
        <w:lastRenderedPageBreak/>
        <w:t>получателей указанной доплаты – 2 человека. Планируемые бюджетные ассигнования должны составить 3</w:t>
      </w:r>
      <w:r w:rsidR="00287D35">
        <w:rPr>
          <w:bCs/>
        </w:rPr>
        <w:t>88,1</w:t>
      </w:r>
      <w:r>
        <w:rPr>
          <w:bCs/>
        </w:rPr>
        <w:t xml:space="preserve"> тыс. руб. (1</w:t>
      </w:r>
      <w:r w:rsidR="00287D35">
        <w:rPr>
          <w:bCs/>
        </w:rPr>
        <w:t xml:space="preserve">6169 </w:t>
      </w:r>
      <w:r>
        <w:rPr>
          <w:bCs/>
        </w:rPr>
        <w:t xml:space="preserve">руб.*2чел.*12мес.). </w:t>
      </w:r>
    </w:p>
    <w:p w14:paraId="0A984053" w14:textId="74813CB8" w:rsidR="00345200" w:rsidRDefault="00345200" w:rsidP="0034520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F73BF">
        <w:t>На</w:t>
      </w:r>
      <w:r>
        <w:rPr>
          <w:bCs/>
        </w:rPr>
        <w:t xml:space="preserve"> плановый период 202</w:t>
      </w:r>
      <w:r w:rsidR="00287D35">
        <w:rPr>
          <w:bCs/>
        </w:rPr>
        <w:t>5</w:t>
      </w:r>
      <w:r>
        <w:rPr>
          <w:bCs/>
        </w:rPr>
        <w:t>-202</w:t>
      </w:r>
      <w:r w:rsidR="00287D35">
        <w:rPr>
          <w:bCs/>
        </w:rPr>
        <w:t>6</w:t>
      </w:r>
      <w:r>
        <w:rPr>
          <w:bCs/>
        </w:rPr>
        <w:t xml:space="preserve"> годов расходы на пенсионное обеспечение запланированы в сумме по </w:t>
      </w:r>
      <w:r w:rsidR="00287D35">
        <w:rPr>
          <w:bCs/>
        </w:rPr>
        <w:t>257</w:t>
      </w:r>
      <w:r>
        <w:rPr>
          <w:bCs/>
        </w:rPr>
        <w:t xml:space="preserve"> тыс. руб. ежегодно, или </w:t>
      </w:r>
      <w:r w:rsidR="00287D35">
        <w:rPr>
          <w:bCs/>
        </w:rPr>
        <w:t>85,6</w:t>
      </w:r>
      <w:r>
        <w:rPr>
          <w:bCs/>
        </w:rPr>
        <w:t>% к 202</w:t>
      </w:r>
      <w:r w:rsidR="00287D35">
        <w:rPr>
          <w:bCs/>
        </w:rPr>
        <w:t>4</w:t>
      </w:r>
      <w:r>
        <w:rPr>
          <w:bCs/>
        </w:rPr>
        <w:t xml:space="preserve"> году.</w:t>
      </w:r>
    </w:p>
    <w:p w14:paraId="0DE85565" w14:textId="53ADF53B" w:rsidR="00345200" w:rsidRDefault="00345200" w:rsidP="00345200">
      <w:pPr>
        <w:autoSpaceDE w:val="0"/>
        <w:autoSpaceDN w:val="0"/>
        <w:adjustRightInd w:val="0"/>
        <w:ind w:firstLine="567"/>
        <w:jc w:val="both"/>
      </w:pPr>
      <w:r w:rsidRPr="00B407BB">
        <w:t xml:space="preserve">Удельный </w:t>
      </w:r>
      <w:r>
        <w:t>вес расходов на пенсионное обеспечение в общем объеме расходов бюджета в 202</w:t>
      </w:r>
      <w:r w:rsidR="00287D35">
        <w:t>4</w:t>
      </w:r>
      <w:r>
        <w:t xml:space="preserve"> году составит </w:t>
      </w:r>
      <w:r w:rsidR="00287D35">
        <w:t>1,8</w:t>
      </w:r>
      <w:r>
        <w:t>%, в 202</w:t>
      </w:r>
      <w:r w:rsidR="00287D35">
        <w:t>5</w:t>
      </w:r>
      <w:r>
        <w:t>г.- 2,</w:t>
      </w:r>
      <w:r w:rsidR="00F57407">
        <w:t>1</w:t>
      </w:r>
      <w:r>
        <w:t>%, в 202</w:t>
      </w:r>
      <w:r w:rsidR="00F57407">
        <w:t>6</w:t>
      </w:r>
      <w:r>
        <w:t>г.- 2,</w:t>
      </w:r>
      <w:r w:rsidR="00F57407">
        <w:t>2</w:t>
      </w:r>
      <w:r>
        <w:t>%.</w:t>
      </w:r>
    </w:p>
    <w:p w14:paraId="138D38F7" w14:textId="77777777" w:rsidR="00345200" w:rsidRDefault="00345200" w:rsidP="00C5251E">
      <w:pPr>
        <w:autoSpaceDE w:val="0"/>
        <w:autoSpaceDN w:val="0"/>
        <w:adjustRightInd w:val="0"/>
        <w:ind w:left="-170" w:firstLine="737"/>
        <w:jc w:val="both"/>
        <w:rPr>
          <w:b/>
          <w:bCs/>
        </w:rPr>
      </w:pPr>
    </w:p>
    <w:p w14:paraId="11425238" w14:textId="53A5BE7C" w:rsidR="00D80372" w:rsidRDefault="00D80372" w:rsidP="00D80372">
      <w:pPr>
        <w:pStyle w:val="a9"/>
        <w:spacing w:after="0"/>
        <w:ind w:firstLine="708"/>
        <w:jc w:val="center"/>
        <w:rPr>
          <w:b/>
          <w:u w:val="single"/>
        </w:rPr>
      </w:pPr>
      <w:r w:rsidRPr="00802CFF">
        <w:rPr>
          <w:b/>
          <w:u w:val="single"/>
        </w:rPr>
        <w:t>Раздел 1</w:t>
      </w:r>
      <w:r>
        <w:rPr>
          <w:b/>
          <w:u w:val="single"/>
        </w:rPr>
        <w:t>1</w:t>
      </w:r>
      <w:r w:rsidRPr="00802CFF">
        <w:rPr>
          <w:b/>
          <w:u w:val="single"/>
        </w:rPr>
        <w:t xml:space="preserve"> «</w:t>
      </w:r>
      <w:r>
        <w:rPr>
          <w:b/>
          <w:u w:val="single"/>
        </w:rPr>
        <w:t>Физическая культура и спорт</w:t>
      </w:r>
      <w:r w:rsidRPr="007B75BD">
        <w:rPr>
          <w:b/>
          <w:u w:val="single"/>
        </w:rPr>
        <w:t>»</w:t>
      </w:r>
    </w:p>
    <w:p w14:paraId="215FCEFE" w14:textId="77777777" w:rsidR="00F57407" w:rsidRDefault="00F57407" w:rsidP="00F57407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данном разделе отражены расходы </w:t>
      </w:r>
      <w:r w:rsidRPr="00CC360E">
        <w:t>по подразделу</w:t>
      </w:r>
      <w:r>
        <w:rPr>
          <w:b/>
        </w:rPr>
        <w:t xml:space="preserve"> 1105</w:t>
      </w:r>
      <w:r w:rsidRPr="0049744E">
        <w:rPr>
          <w:b/>
        </w:rPr>
        <w:t xml:space="preserve"> «</w:t>
      </w:r>
      <w:r>
        <w:rPr>
          <w:b/>
        </w:rPr>
        <w:t>Другие вопросы в области физической культуры и спорта».</w:t>
      </w:r>
    </w:p>
    <w:p w14:paraId="73949B05" w14:textId="0B164BDD" w:rsidR="00F57407" w:rsidRPr="00CB5D7A" w:rsidRDefault="00F57407" w:rsidP="00F5740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</w:rPr>
        <w:t xml:space="preserve"> </w:t>
      </w:r>
      <w:r w:rsidRPr="00E92C7E">
        <w:t xml:space="preserve">Расходы на </w:t>
      </w:r>
      <w:r>
        <w:t>2024</w:t>
      </w:r>
      <w:r w:rsidRPr="00E92C7E">
        <w:t xml:space="preserve"> год по данному разделу </w:t>
      </w:r>
      <w:r w:rsidRPr="00924BC3">
        <w:rPr>
          <w:bCs/>
        </w:rPr>
        <w:t>планируется</w:t>
      </w:r>
      <w:r w:rsidRPr="00E92C7E">
        <w:t xml:space="preserve"> утвердить</w:t>
      </w:r>
      <w:r w:rsidRPr="00E92C7E">
        <w:rPr>
          <w:b/>
        </w:rPr>
        <w:t xml:space="preserve"> </w:t>
      </w:r>
      <w:r w:rsidRPr="00E92C7E">
        <w:t xml:space="preserve">в сумме </w:t>
      </w:r>
      <w:r w:rsidRPr="00F57407">
        <w:rPr>
          <w:b/>
          <w:bCs/>
        </w:rPr>
        <w:t>43</w:t>
      </w:r>
      <w:r w:rsidRPr="00322698">
        <w:rPr>
          <w:b/>
        </w:rPr>
        <w:t xml:space="preserve"> </w:t>
      </w:r>
      <w:r w:rsidRPr="00F03D7C">
        <w:rPr>
          <w:b/>
        </w:rPr>
        <w:t>тыс. руб</w:t>
      </w:r>
      <w:r>
        <w:rPr>
          <w:b/>
        </w:rPr>
        <w:t>.,</w:t>
      </w:r>
      <w:r w:rsidRPr="00E92C7E">
        <w:t xml:space="preserve"> </w:t>
      </w:r>
      <w:r>
        <w:t>что в 8,6 раза больше оценки исполнения бюджета в 2023 году (5 тыс. руб.).</w:t>
      </w:r>
      <w:r>
        <w:rPr>
          <w:b/>
        </w:rPr>
        <w:t xml:space="preserve"> </w:t>
      </w:r>
      <w:r w:rsidRPr="00D560E0">
        <w:rPr>
          <w:bCs/>
        </w:rPr>
        <w:t>Средства планируется направить на проведение спортивных мероприятий на территории поселения.</w:t>
      </w:r>
    </w:p>
    <w:p w14:paraId="270C0A3A" w14:textId="7ADE7186" w:rsidR="00F57407" w:rsidRDefault="00F57407" w:rsidP="00F57407">
      <w:pPr>
        <w:autoSpaceDE w:val="0"/>
        <w:autoSpaceDN w:val="0"/>
        <w:adjustRightInd w:val="0"/>
        <w:ind w:firstLine="539"/>
        <w:jc w:val="both"/>
      </w:pPr>
      <w:r>
        <w:t>На плановый период 2025 и 2026 годов бюджетные ассигнования предусмотрены по 55 тыс. руб. ежегодно.</w:t>
      </w:r>
    </w:p>
    <w:p w14:paraId="478DE7EC" w14:textId="77777777" w:rsidR="00D80372" w:rsidRDefault="00D80372" w:rsidP="00D80372">
      <w:pPr>
        <w:autoSpaceDE w:val="0"/>
        <w:autoSpaceDN w:val="0"/>
        <w:adjustRightInd w:val="0"/>
        <w:ind w:left="-170" w:firstLine="540"/>
        <w:jc w:val="both"/>
      </w:pPr>
    </w:p>
    <w:p w14:paraId="2A072A84" w14:textId="77777777" w:rsidR="00D80372" w:rsidRPr="007A37B2" w:rsidRDefault="00D80372" w:rsidP="00D80372">
      <w:pPr>
        <w:ind w:firstLine="567"/>
        <w:jc w:val="center"/>
        <w:rPr>
          <w:b/>
          <w:u w:val="single"/>
        </w:rPr>
      </w:pPr>
      <w:r w:rsidRPr="007A37B2">
        <w:rPr>
          <w:b/>
          <w:u w:val="single"/>
        </w:rPr>
        <w:t>Раздел 14 «Межбюджетные трансферты»</w:t>
      </w:r>
    </w:p>
    <w:p w14:paraId="6FF6E55D" w14:textId="77777777" w:rsidR="00D80372" w:rsidRPr="007A37B2" w:rsidRDefault="00D80372" w:rsidP="00D8037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A37B2">
        <w:rPr>
          <w:bCs/>
        </w:rPr>
        <w:t xml:space="preserve">В данном разделе отражены расходы по подразделу </w:t>
      </w:r>
      <w:r w:rsidRPr="00A428FA">
        <w:rPr>
          <w:bCs/>
        </w:rPr>
        <w:t>1403 «Прочие межбюджетные трансферты субъектов РФ и муниципальных образований общего характера».</w:t>
      </w:r>
    </w:p>
    <w:p w14:paraId="5A4B9550" w14:textId="005F5099" w:rsidR="0074004D" w:rsidRDefault="00D80372" w:rsidP="00067E25">
      <w:pPr>
        <w:autoSpaceDE w:val="0"/>
        <w:autoSpaceDN w:val="0"/>
        <w:adjustRightInd w:val="0"/>
        <w:ind w:firstLine="540"/>
        <w:jc w:val="both"/>
      </w:pPr>
      <w:r w:rsidRPr="008B4E4C">
        <w:t xml:space="preserve">Ожидаемое исполнение расходов по подразделу 1403 в </w:t>
      </w:r>
      <w:r w:rsidR="006A0488">
        <w:t>202</w:t>
      </w:r>
      <w:r w:rsidR="00BA69D0">
        <w:t>3</w:t>
      </w:r>
      <w:r w:rsidRPr="008B4E4C">
        <w:t xml:space="preserve"> году составит </w:t>
      </w:r>
      <w:r w:rsidR="00BA69D0">
        <w:t xml:space="preserve">843,6 </w:t>
      </w:r>
      <w:r>
        <w:t>тыс. рублей.</w:t>
      </w:r>
      <w:r w:rsidRPr="008B4E4C">
        <w:t xml:space="preserve"> </w:t>
      </w:r>
      <w:r w:rsidRPr="007A37B2">
        <w:t xml:space="preserve">На </w:t>
      </w:r>
      <w:r w:rsidR="000E76FA">
        <w:t>202</w:t>
      </w:r>
      <w:r w:rsidR="002111C9">
        <w:t>4</w:t>
      </w:r>
      <w:r w:rsidRPr="007A37B2">
        <w:t xml:space="preserve"> год</w:t>
      </w:r>
      <w:r>
        <w:t xml:space="preserve"> </w:t>
      </w:r>
      <w:r w:rsidR="002111C9">
        <w:t xml:space="preserve">и </w:t>
      </w:r>
      <w:r w:rsidR="00067E25">
        <w:t>на 2025 год поселением</w:t>
      </w:r>
      <w:r w:rsidR="00067E25" w:rsidRPr="00067E25">
        <w:t xml:space="preserve"> </w:t>
      </w:r>
      <w:r w:rsidR="00067E25" w:rsidRPr="007A37B2">
        <w:t>предусмотрен</w:t>
      </w:r>
      <w:r w:rsidR="00067E25">
        <w:t xml:space="preserve">ы расходы на передачу четырех полномочий: </w:t>
      </w:r>
      <w:r w:rsidR="0074004D">
        <w:t xml:space="preserve">по обслуживанию бюджетов поселений; на размещение муниципального заказа; по организации внутреннего муниципального финансового контроля, по организации внешнего муниципального финансового контроля. Объем средств, предусмотренных на эти цели на 2024 - 2025 гг. составляет по 777,8 тыс. руб. ежегодно. </w:t>
      </w:r>
    </w:p>
    <w:p w14:paraId="248A9FEA" w14:textId="63A3A36B" w:rsidR="00067E25" w:rsidRPr="00FA2D5F" w:rsidRDefault="00067E25" w:rsidP="00067E25">
      <w:pPr>
        <w:autoSpaceDE w:val="0"/>
        <w:autoSpaceDN w:val="0"/>
        <w:adjustRightInd w:val="0"/>
        <w:ind w:firstLine="540"/>
        <w:jc w:val="both"/>
      </w:pPr>
      <w:r w:rsidRPr="00FA2D5F">
        <w:rPr>
          <w:lang w:val="x-none"/>
        </w:rPr>
        <w:t>В составе вышеуказанных ассигнований предусмотрены расходы на</w:t>
      </w:r>
      <w:r w:rsidRPr="00FA2D5F">
        <w:t xml:space="preserve"> выполнение </w:t>
      </w:r>
      <w:r>
        <w:t>следующих</w:t>
      </w:r>
      <w:r w:rsidRPr="00FA2D5F">
        <w:t xml:space="preserve"> полномочий:</w:t>
      </w:r>
    </w:p>
    <w:p w14:paraId="75258E13" w14:textId="667C3A8F" w:rsidR="00067E25" w:rsidRDefault="00067E25" w:rsidP="00067E25">
      <w:pPr>
        <w:ind w:firstLine="426"/>
        <w:jc w:val="both"/>
      </w:pPr>
      <w:r w:rsidRPr="00FA2D5F">
        <w:t xml:space="preserve">- по обслуживанию бюджетов поселений – </w:t>
      </w:r>
      <w:r w:rsidR="0074004D">
        <w:t>608,8</w:t>
      </w:r>
      <w:r>
        <w:t xml:space="preserve"> </w:t>
      </w:r>
      <w:r w:rsidRPr="00FA2D5F">
        <w:t>тыс. руб.</w:t>
      </w:r>
      <w:r>
        <w:t xml:space="preserve">; </w:t>
      </w:r>
    </w:p>
    <w:p w14:paraId="3CC86657" w14:textId="16A3D61A" w:rsidR="00067E25" w:rsidRDefault="00067E25" w:rsidP="00067E25">
      <w:pPr>
        <w:ind w:firstLine="426"/>
        <w:jc w:val="both"/>
      </w:pPr>
      <w:r w:rsidRPr="00FA2D5F">
        <w:t>- по организации размещения муниципального заказа –</w:t>
      </w:r>
      <w:r>
        <w:t xml:space="preserve"> </w:t>
      </w:r>
      <w:r w:rsidR="0074004D">
        <w:t>51,1</w:t>
      </w:r>
      <w:r w:rsidRPr="00FA2D5F">
        <w:t xml:space="preserve"> тыс. руб.;</w:t>
      </w:r>
    </w:p>
    <w:p w14:paraId="6F0ADFC2" w14:textId="650B32CB" w:rsidR="00067E25" w:rsidRPr="00FA2D5F" w:rsidRDefault="00067E25" w:rsidP="00067E25">
      <w:pPr>
        <w:ind w:firstLine="426"/>
        <w:jc w:val="both"/>
      </w:pPr>
      <w:r>
        <w:t>- по организации осуществления внутреннего муниципального финансового контроля – 4</w:t>
      </w:r>
      <w:r w:rsidR="0074004D">
        <w:t>2,7</w:t>
      </w:r>
      <w:r>
        <w:t xml:space="preserve"> тыс. руб.</w:t>
      </w:r>
    </w:p>
    <w:p w14:paraId="0F37129C" w14:textId="77777777" w:rsidR="00067E25" w:rsidRDefault="00067E25" w:rsidP="00067E25">
      <w:pPr>
        <w:ind w:firstLine="426"/>
        <w:jc w:val="both"/>
      </w:pPr>
      <w:r w:rsidRPr="00FA2D5F">
        <w:t xml:space="preserve">- по организации осуществления внешнего муниципального финансового контроля – </w:t>
      </w:r>
      <w:r>
        <w:t>75,2</w:t>
      </w:r>
      <w:r w:rsidRPr="00FA2D5F">
        <w:t xml:space="preserve"> тыс. руб.</w:t>
      </w:r>
      <w:r>
        <w:t xml:space="preserve"> </w:t>
      </w:r>
    </w:p>
    <w:p w14:paraId="2221A1EA" w14:textId="3069AA48" w:rsidR="005A36A1" w:rsidRDefault="005A36A1" w:rsidP="005A36A1">
      <w:pPr>
        <w:ind w:firstLine="567"/>
        <w:jc w:val="both"/>
      </w:pPr>
      <w:r w:rsidRPr="00CE7ACD">
        <w:t xml:space="preserve">В предлагаемом проекте решения Думы о бюджете объем межбюджетных трансфертов на осуществление переданных полномочий предусмотрены на 12 месяцев. </w:t>
      </w:r>
    </w:p>
    <w:p w14:paraId="4D0420E2" w14:textId="77777777" w:rsidR="005A36A1" w:rsidRDefault="005A36A1" w:rsidP="005A36A1">
      <w:pPr>
        <w:pStyle w:val="a9"/>
        <w:spacing w:after="0"/>
        <w:ind w:firstLine="539"/>
        <w:jc w:val="both"/>
      </w:pPr>
      <w:r>
        <w:t>Удельный вес расходов по данному разделу в общем объеме расходов бюджета составит в 2024г. – 4,7%, в 2025г. – 6,3%.</w:t>
      </w:r>
    </w:p>
    <w:p w14:paraId="79FF5BB2" w14:textId="396E556A" w:rsidR="005A36A1" w:rsidRDefault="005A36A1" w:rsidP="00D80372">
      <w:pPr>
        <w:pStyle w:val="a9"/>
        <w:spacing w:after="0"/>
        <w:ind w:firstLine="539"/>
        <w:jc w:val="both"/>
      </w:pPr>
      <w:r>
        <w:t xml:space="preserve">На плановый период 2026 года МБТ не предусмотрены ввиду отсутствия заключенных соглашений. </w:t>
      </w:r>
    </w:p>
    <w:p w14:paraId="483869A7" w14:textId="77777777" w:rsidR="00F232BD" w:rsidRDefault="00F232BD" w:rsidP="00EE7FF2">
      <w:pPr>
        <w:ind w:right="-365"/>
        <w:jc w:val="center"/>
        <w:rPr>
          <w:b/>
        </w:rPr>
      </w:pPr>
    </w:p>
    <w:p w14:paraId="0ADF85D1" w14:textId="46806F3E" w:rsidR="00D80372" w:rsidRPr="0036109A" w:rsidRDefault="00D80372" w:rsidP="00D80372">
      <w:pPr>
        <w:ind w:left="-540" w:right="-365"/>
        <w:jc w:val="center"/>
        <w:rPr>
          <w:b/>
        </w:rPr>
      </w:pPr>
      <w:r>
        <w:rPr>
          <w:b/>
        </w:rPr>
        <w:t>Выводы:</w:t>
      </w:r>
    </w:p>
    <w:p w14:paraId="230D85C9" w14:textId="05C92F0C" w:rsidR="00B926D5" w:rsidRDefault="00EB1E96" w:rsidP="00B926D5">
      <w:pPr>
        <w:ind w:firstLine="567"/>
        <w:jc w:val="both"/>
      </w:pPr>
      <w:r>
        <w:t>1</w:t>
      </w:r>
      <w:r w:rsidR="004F2F3C">
        <w:t>.</w:t>
      </w:r>
      <w:r w:rsidR="00B926D5" w:rsidRPr="00B926D5">
        <w:t xml:space="preserve"> </w:t>
      </w:r>
      <w:r w:rsidR="00B926D5">
        <w:t>Проект бюджета проанализирован на его соответствие требования БК РФ. Проект решения и материалы, представленные вместе с ним соответствуют</w:t>
      </w:r>
      <w:r w:rsidR="009910EA">
        <w:t>,</w:t>
      </w:r>
      <w:r w:rsidR="00B926D5">
        <w:t xml:space="preserve"> требованиям ст.ст.184.1, 184.2 БК РФ и ст.ст.24,25 Положения о бюджетном процессе поселения.</w:t>
      </w:r>
    </w:p>
    <w:p w14:paraId="00977BE8" w14:textId="19634B8E" w:rsidR="009910EA" w:rsidRPr="009910EA" w:rsidRDefault="009910EA" w:rsidP="009910EA">
      <w:pPr>
        <w:ind w:firstLine="567"/>
        <w:jc w:val="both"/>
      </w:pPr>
      <w:r>
        <w:t>2.</w:t>
      </w:r>
      <w:r w:rsidRPr="009910EA">
        <w:rPr>
          <w:b/>
          <w:bCs/>
        </w:rPr>
        <w:t xml:space="preserve"> </w:t>
      </w:r>
      <w:r w:rsidRPr="009910EA">
        <w:t xml:space="preserve">В нарушение п.4 ст.173 БК РФ пояснительная записка к прогнозу СЭР </w:t>
      </w:r>
      <w:proofErr w:type="spellStart"/>
      <w:r w:rsidRPr="009910EA">
        <w:t>Каразейского</w:t>
      </w:r>
      <w:proofErr w:type="spellEnd"/>
      <w:r w:rsidRPr="009910EA">
        <w:t xml:space="preserve"> МО отсутствует.</w:t>
      </w:r>
    </w:p>
    <w:p w14:paraId="241A5820" w14:textId="6409807D" w:rsidR="00C76287" w:rsidRDefault="009910EA" w:rsidP="004E0725">
      <w:pPr>
        <w:ind w:firstLine="540"/>
        <w:jc w:val="both"/>
      </w:pPr>
      <w:r>
        <w:t>3.</w:t>
      </w:r>
      <w:r w:rsidRPr="009910EA">
        <w:rPr>
          <w:b/>
          <w:bCs/>
        </w:rPr>
        <w:t xml:space="preserve"> </w:t>
      </w:r>
      <w:r w:rsidR="00F232BD" w:rsidRPr="00F232BD">
        <w:t xml:space="preserve">Оценка ожидаемого исполнения бюджета </w:t>
      </w:r>
      <w:r w:rsidR="00F232BD">
        <w:t>по доходам на 2023 год несколько занижена. Так</w:t>
      </w:r>
      <w:r w:rsidR="00C76287">
        <w:t>, согласно представленного реестра источников доходов бюджета по состоянию на 1 ноября 2023 года кассовое поступление доходов от штрафов составило 13,4 тыс. руб., от прочих неналоговых доходов – 50 тыс. руб., однако в оценке исполнения бюджета информация по данным источникам отсутствует.</w:t>
      </w:r>
    </w:p>
    <w:p w14:paraId="2363E162" w14:textId="20CFDA74" w:rsidR="009910EA" w:rsidRPr="009910EA" w:rsidRDefault="004E0725" w:rsidP="009910EA">
      <w:pPr>
        <w:autoSpaceDE w:val="0"/>
        <w:autoSpaceDN w:val="0"/>
        <w:adjustRightInd w:val="0"/>
        <w:ind w:firstLine="567"/>
        <w:jc w:val="both"/>
      </w:pPr>
      <w:r>
        <w:t>4</w:t>
      </w:r>
      <w:r w:rsidR="00F232BD">
        <w:t>. З</w:t>
      </w:r>
      <w:r w:rsidR="009910EA" w:rsidRPr="009910EA">
        <w:t xml:space="preserve">апланированные проектом бюджета поступления НДФЛ на 2024 год и 2025 год не в полной мере увязаны с темпами роста заработной платы, учтенными в Прогнозе СЭР </w:t>
      </w:r>
      <w:proofErr w:type="spellStart"/>
      <w:r w:rsidR="009910EA" w:rsidRPr="009910EA">
        <w:lastRenderedPageBreak/>
        <w:t>Каразейского</w:t>
      </w:r>
      <w:proofErr w:type="spellEnd"/>
      <w:r w:rsidR="009910EA" w:rsidRPr="009910EA">
        <w:t xml:space="preserve"> МО. Так, в Прогнозе на 2024 год по отношению к 2023 году темп роста зарплаты 107,3%, на 2025 год по отношению к 2024 году – 107,</w:t>
      </w:r>
      <w:r w:rsidR="009910EA">
        <w:t>1</w:t>
      </w:r>
      <w:r w:rsidR="00347FA8">
        <w:t xml:space="preserve"> 1 </w:t>
      </w:r>
      <w:r w:rsidR="009910EA" w:rsidRPr="009910EA">
        <w:t>%, а в проекте бюджета поступления НДФЛ  запланированы с темпом роста на 2024г. – 114,5%, на 2025г. – 106%.</w:t>
      </w:r>
    </w:p>
    <w:p w14:paraId="2CEB5A25" w14:textId="6FCB9D26" w:rsidR="004E4826" w:rsidRDefault="004E4826" w:rsidP="004E4826">
      <w:pPr>
        <w:autoSpaceDE w:val="0"/>
        <w:autoSpaceDN w:val="0"/>
        <w:adjustRightInd w:val="0"/>
        <w:ind w:firstLine="567"/>
        <w:jc w:val="both"/>
      </w:pPr>
      <w:r>
        <w:t>5. Анализ должностных окладов муниципальных служащих показал, что размер должностного оклада начальника отдела превышает размер должностного оклада по соответствующей должности, установленный Указом Губернатора 16.09.2022г. №203-уг.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1694"/>
      </w:tblGrid>
      <w:tr w:rsidR="004E4826" w14:paraId="5CC150E4" w14:textId="77777777" w:rsidTr="003F07D5">
        <w:tc>
          <w:tcPr>
            <w:tcW w:w="5240" w:type="dxa"/>
          </w:tcPr>
          <w:p w14:paraId="3C4BAD13" w14:textId="7158BBD4" w:rsidR="004E4826" w:rsidRPr="008A56A1" w:rsidRDefault="004E4826" w:rsidP="003F07D5">
            <w:pPr>
              <w:autoSpaceDE w:val="0"/>
              <w:autoSpaceDN w:val="0"/>
              <w:adjustRightInd w:val="0"/>
              <w:jc w:val="both"/>
              <w:rPr>
                <w:color w:val="22272F"/>
                <w:sz w:val="16"/>
                <w:szCs w:val="16"/>
                <w:shd w:val="clear" w:color="auto" w:fill="FFFFFF"/>
              </w:rPr>
            </w:pPr>
            <w:r>
              <w:t xml:space="preserve">  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>Должностной оклад з</w:t>
            </w:r>
            <w:r w:rsidRPr="008A56A1">
              <w:rPr>
                <w:color w:val="22272F"/>
                <w:sz w:val="16"/>
                <w:szCs w:val="16"/>
                <w:shd w:val="clear" w:color="auto" w:fill="FFFFFF"/>
              </w:rPr>
              <w:t>аместите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>ля</w:t>
            </w:r>
            <w:r w:rsidRPr="008A56A1">
              <w:rPr>
                <w:color w:val="22272F"/>
                <w:sz w:val="16"/>
                <w:szCs w:val="16"/>
                <w:shd w:val="clear" w:color="auto" w:fill="FFFFFF"/>
              </w:rPr>
              <w:t xml:space="preserve"> начальника отдела в управлении министерства Иркутской обл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>., согласно Указа Губернатора от 16.09.2022г. № 203-уг «</w:t>
            </w:r>
            <w:r w:rsidRPr="008A56A1">
              <w:rPr>
                <w:color w:val="22272F"/>
                <w:sz w:val="16"/>
                <w:szCs w:val="16"/>
                <w:shd w:val="clear" w:color="auto" w:fill="FFFFFF"/>
              </w:rPr>
              <w:t>О размерах должностных окладов и ежемесячного денежного поощрения государственных гражданских служащих Иркутской области</w:t>
            </w:r>
            <w:r>
              <w:rPr>
                <w:color w:val="22272F"/>
                <w:sz w:val="16"/>
                <w:szCs w:val="16"/>
                <w:shd w:val="clear" w:color="auto" w:fill="FFFFFF"/>
              </w:rPr>
              <w:t>», руб.</w:t>
            </w:r>
          </w:p>
        </w:tc>
        <w:tc>
          <w:tcPr>
            <w:tcW w:w="2410" w:type="dxa"/>
          </w:tcPr>
          <w:p w14:paraId="3E3B8500" w14:textId="77777777" w:rsidR="004E4826" w:rsidRPr="008A56A1" w:rsidRDefault="004E4826" w:rsidP="003F07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Должностной оклад начальника отдела, предусмотренный в штатном расписании, руб.</w:t>
            </w:r>
          </w:p>
        </w:tc>
        <w:tc>
          <w:tcPr>
            <w:tcW w:w="1694" w:type="dxa"/>
          </w:tcPr>
          <w:p w14:paraId="0C6A1557" w14:textId="77777777" w:rsidR="004E4826" w:rsidRPr="008A56A1" w:rsidRDefault="004E4826" w:rsidP="003F07D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A56A1">
              <w:rPr>
                <w:color w:val="000000"/>
                <w:sz w:val="16"/>
                <w:szCs w:val="16"/>
              </w:rPr>
              <w:t>размер завышения должностного оклада в месяц, руб.</w:t>
            </w:r>
          </w:p>
        </w:tc>
      </w:tr>
      <w:tr w:rsidR="004E4826" w14:paraId="5D9B5FC5" w14:textId="77777777" w:rsidTr="003F07D5">
        <w:tc>
          <w:tcPr>
            <w:tcW w:w="5240" w:type="dxa"/>
          </w:tcPr>
          <w:p w14:paraId="7F49340F" w14:textId="77777777" w:rsidR="004E4826" w:rsidRPr="008A56A1" w:rsidRDefault="004E4826" w:rsidP="003F07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6A1">
              <w:rPr>
                <w:color w:val="000000"/>
                <w:sz w:val="22"/>
                <w:szCs w:val="22"/>
              </w:rPr>
              <w:t>12452</w:t>
            </w:r>
          </w:p>
        </w:tc>
        <w:tc>
          <w:tcPr>
            <w:tcW w:w="2410" w:type="dxa"/>
          </w:tcPr>
          <w:p w14:paraId="365F1F9B" w14:textId="77777777" w:rsidR="004E4826" w:rsidRPr="008A56A1" w:rsidRDefault="004E4826" w:rsidP="003F07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6A1">
              <w:rPr>
                <w:color w:val="000000"/>
                <w:sz w:val="22"/>
                <w:szCs w:val="22"/>
              </w:rPr>
              <w:t>13620</w:t>
            </w:r>
          </w:p>
        </w:tc>
        <w:tc>
          <w:tcPr>
            <w:tcW w:w="1694" w:type="dxa"/>
          </w:tcPr>
          <w:p w14:paraId="7A4C5665" w14:textId="77777777" w:rsidR="004E4826" w:rsidRPr="008A56A1" w:rsidRDefault="004E4826" w:rsidP="003F07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A56A1">
              <w:rPr>
                <w:color w:val="000000"/>
                <w:sz w:val="22"/>
                <w:szCs w:val="22"/>
              </w:rPr>
              <w:t>1168</w:t>
            </w:r>
          </w:p>
        </w:tc>
      </w:tr>
    </w:tbl>
    <w:p w14:paraId="5068BF43" w14:textId="241A280F" w:rsidR="006F5637" w:rsidRDefault="004E4826" w:rsidP="006F5637">
      <w:pPr>
        <w:autoSpaceDE w:val="0"/>
        <w:autoSpaceDN w:val="0"/>
        <w:adjustRightInd w:val="0"/>
        <w:ind w:firstLine="539"/>
        <w:jc w:val="both"/>
      </w:pPr>
      <w:r>
        <w:t>6</w:t>
      </w:r>
      <w:r w:rsidR="00C76287">
        <w:t xml:space="preserve">. По подразделу 0503 </w:t>
      </w:r>
      <w:r w:rsidR="006F5637">
        <w:t>«Благоустройство» на 2024 год предусмотрены расходы за счет средств субсидии из областного бюджета на реализацию мероприятий, направленных на снижение негативного воздействия отходов на окружающую среду в сумме 2239 тыс. руб.</w:t>
      </w:r>
      <w:r w:rsidR="006F5637" w:rsidRPr="006F5637">
        <w:rPr>
          <w:b/>
          <w:bCs/>
        </w:rPr>
        <w:t xml:space="preserve"> </w:t>
      </w:r>
      <w:r w:rsidR="006F5637" w:rsidRPr="006F5637">
        <w:t xml:space="preserve">Однако, согласно правилам формирования и применения кодов бюджетной классификации, утвержденным приказом Минфина России от 24.05.2022г. №82н «О Порядке формирования и применения кодов бюджетной классификации РФ, их структуре и принципах их назначения» расходы в области охраны окружающей среды подлежат отражению по разделу 06 «Охрана окружающей среды» (подраздел 0605 «Другие вопросы в области охраны окружающей среды»). </w:t>
      </w:r>
    </w:p>
    <w:p w14:paraId="7DF0EEB0" w14:textId="0022B467" w:rsidR="00CC7E8F" w:rsidRDefault="004E4826" w:rsidP="00CC7E8F">
      <w:pPr>
        <w:ind w:firstLine="567"/>
        <w:jc w:val="both"/>
      </w:pPr>
      <w:r>
        <w:t>7</w:t>
      </w:r>
      <w:r w:rsidR="00CC7E8F">
        <w:t>.</w:t>
      </w:r>
      <w:r w:rsidR="00CC7E8F" w:rsidRPr="00CC7E8F">
        <w:t xml:space="preserve"> </w:t>
      </w:r>
      <w:r w:rsidR="00CC7E8F" w:rsidRPr="00350644">
        <w:t>В ходе экспертизы установлено неполное обеспечение действующих расходных обязательств в части формирования фонда оплаты труда с начислениями. Так, на 202</w:t>
      </w:r>
      <w:r w:rsidR="00CC7E8F">
        <w:t>4</w:t>
      </w:r>
      <w:r w:rsidR="00CC7E8F" w:rsidRPr="00350644">
        <w:t xml:space="preserve"> год </w:t>
      </w:r>
      <w:bookmarkStart w:id="7" w:name="_Hlk119596486"/>
      <w:r w:rsidR="00CC7E8F" w:rsidRPr="00350644">
        <w:t xml:space="preserve">расчетная оценка ~ </w:t>
      </w:r>
      <w:r w:rsidR="00CC7E8F">
        <w:t>1</w:t>
      </w:r>
      <w:r>
        <w:t>5980</w:t>
      </w:r>
      <w:r w:rsidR="00CC7E8F" w:rsidRPr="00350644">
        <w:t xml:space="preserve"> тыс. руб</w:t>
      </w:r>
      <w:bookmarkEnd w:id="7"/>
      <w:r w:rsidR="00CC7E8F" w:rsidRPr="00350644">
        <w:t xml:space="preserve">., предлагается проектом – </w:t>
      </w:r>
      <w:r w:rsidR="00CC7E8F">
        <w:t>10241,9</w:t>
      </w:r>
      <w:r w:rsidR="00CC7E8F" w:rsidRPr="00350644">
        <w:t>тыс.руб. (</w:t>
      </w:r>
      <w:r w:rsidR="00CC7E8F">
        <w:t>6</w:t>
      </w:r>
      <w:r>
        <w:t>4,1</w:t>
      </w:r>
      <w:r w:rsidR="00CC7E8F" w:rsidRPr="00350644">
        <w:t>% от потребности), на 202</w:t>
      </w:r>
      <w:r w:rsidR="00CC7E8F">
        <w:t>5 г</w:t>
      </w:r>
      <w:r w:rsidR="00CC7E8F" w:rsidRPr="00350644">
        <w:t xml:space="preserve">од расчетная оценка ~ </w:t>
      </w:r>
      <w:r w:rsidR="00CC7E8F">
        <w:t>1</w:t>
      </w:r>
      <w:r w:rsidR="002E1784">
        <w:t>5986,8</w:t>
      </w:r>
      <w:r w:rsidR="00CC7E8F" w:rsidRPr="00350644">
        <w:t xml:space="preserve"> тыс. руб., предлагается проектом – </w:t>
      </w:r>
      <w:r w:rsidR="00B026BB">
        <w:t xml:space="preserve">8079,2 </w:t>
      </w:r>
      <w:r w:rsidR="00CC7E8F" w:rsidRPr="00350644">
        <w:t>тыс.</w:t>
      </w:r>
      <w:r w:rsidR="00B026BB">
        <w:t xml:space="preserve"> </w:t>
      </w:r>
      <w:r w:rsidR="00CC7E8F" w:rsidRPr="00350644">
        <w:t>руб. (</w:t>
      </w:r>
      <w:r w:rsidR="00B026BB">
        <w:t>50,</w:t>
      </w:r>
      <w:r w:rsidR="002E1784">
        <w:t>5</w:t>
      </w:r>
      <w:r w:rsidR="00CC7E8F" w:rsidRPr="00350644">
        <w:t>% от потребности)</w:t>
      </w:r>
      <w:r w:rsidR="00CC7E8F">
        <w:t xml:space="preserve">, </w:t>
      </w:r>
      <w:r w:rsidR="00CC7E8F" w:rsidRPr="00EE28EA">
        <w:t>на 202</w:t>
      </w:r>
      <w:r w:rsidR="00B026BB">
        <w:t xml:space="preserve">6 </w:t>
      </w:r>
      <w:r w:rsidR="00CC7E8F" w:rsidRPr="00EE28EA">
        <w:t>год расчетная оценка ~ 1</w:t>
      </w:r>
      <w:r w:rsidR="00B026BB">
        <w:t>5</w:t>
      </w:r>
      <w:r w:rsidR="002E1784">
        <w:t>809,8</w:t>
      </w:r>
      <w:r w:rsidR="00CC7E8F" w:rsidRPr="00EE28EA">
        <w:t xml:space="preserve"> тыс. руб., предлагается проектом – </w:t>
      </w:r>
      <w:r w:rsidR="00B026BB">
        <w:t xml:space="preserve">8487,7 </w:t>
      </w:r>
      <w:r w:rsidR="00CC7E8F" w:rsidRPr="00EE28EA">
        <w:t>тыс.</w:t>
      </w:r>
      <w:r w:rsidR="00B026BB">
        <w:t xml:space="preserve"> </w:t>
      </w:r>
      <w:r w:rsidR="00CC7E8F" w:rsidRPr="00EE28EA">
        <w:t xml:space="preserve">руб. </w:t>
      </w:r>
      <w:r w:rsidR="00B026BB">
        <w:t>(53,</w:t>
      </w:r>
      <w:r w:rsidR="002E1784">
        <w:t>7</w:t>
      </w:r>
      <w:r w:rsidR="00CC7E8F" w:rsidRPr="00EE28EA">
        <w:t>% от потребности)</w:t>
      </w:r>
      <w:r w:rsidR="00CC7E8F">
        <w:t>.</w:t>
      </w:r>
      <w:r w:rsidR="00CC7E8F" w:rsidRPr="00EE28EA">
        <w:t xml:space="preserve">  </w:t>
      </w:r>
    </w:p>
    <w:p w14:paraId="1F01D2B2" w14:textId="5597BFFC" w:rsidR="00CC7E8F" w:rsidRDefault="00CC7E8F" w:rsidP="00CC7E8F">
      <w:pPr>
        <w:ind w:firstLine="567"/>
        <w:jc w:val="both"/>
      </w:pPr>
      <w:r>
        <w:t>У</w:t>
      </w:r>
      <w:r w:rsidRPr="00EE28EA">
        <w:t xml:space="preserve">становлено неполное обеспечение действующих расходных обязательств в части </w:t>
      </w:r>
      <w:r>
        <w:t xml:space="preserve">социальных обязательств по выплате </w:t>
      </w:r>
      <w:r w:rsidRPr="00EE28EA">
        <w:t>ежемесячной доплаты к трудовой пенсии лицам, замещавшим должности муниципальной службы</w:t>
      </w:r>
      <w:r>
        <w:t xml:space="preserve">. Так, </w:t>
      </w:r>
      <w:r w:rsidRPr="00777914">
        <w:t xml:space="preserve">расчетная оценка ~ </w:t>
      </w:r>
      <w:r>
        <w:t>3</w:t>
      </w:r>
      <w:r w:rsidR="00B026BB">
        <w:t>88,1</w:t>
      </w:r>
      <w:r w:rsidRPr="00777914">
        <w:t xml:space="preserve"> тыс. руб</w:t>
      </w:r>
      <w:r>
        <w:t>. (1</w:t>
      </w:r>
      <w:r w:rsidR="00B026BB">
        <w:t>6169</w:t>
      </w:r>
      <w:r>
        <w:t>*2*12), предлагается проектом к утверждению на 202</w:t>
      </w:r>
      <w:r w:rsidR="00B026BB">
        <w:t>4</w:t>
      </w:r>
      <w:r>
        <w:t xml:space="preserve"> год в сумме 3</w:t>
      </w:r>
      <w:r w:rsidR="00B026BB">
        <w:t>00</w:t>
      </w:r>
      <w:r>
        <w:t xml:space="preserve"> тыс. руб. (</w:t>
      </w:r>
      <w:r w:rsidR="00B026BB">
        <w:t>77,3</w:t>
      </w:r>
      <w:r>
        <w:t>% от потребности), на каждый год планового периода предлагается к утверждению по 257 тыс.</w:t>
      </w:r>
      <w:r w:rsidR="00B026BB">
        <w:t xml:space="preserve"> </w:t>
      </w:r>
      <w:r>
        <w:t xml:space="preserve">руб., или </w:t>
      </w:r>
      <w:r w:rsidR="00B026BB">
        <w:t>66,2</w:t>
      </w:r>
      <w:r>
        <w:t xml:space="preserve">% от потребности. </w:t>
      </w:r>
    </w:p>
    <w:p w14:paraId="23FCBAC7" w14:textId="77777777" w:rsidR="00CC7E8F" w:rsidRDefault="00CC7E8F" w:rsidP="00CC7E8F">
      <w:pPr>
        <w:ind w:firstLine="567"/>
        <w:jc w:val="both"/>
      </w:pPr>
      <w:r>
        <w:t>Вместе с тем следует отметить, что п</w:t>
      </w:r>
      <w:r w:rsidRPr="00777914">
        <w:t xml:space="preserve">о сложившейся практике по мере корректировки доходной части бюджета, будут увеличиваться и бюджетные ассигнования на финансовое обеспечение </w:t>
      </w:r>
      <w:r>
        <w:t>расходных обязательств бюджета поселения.</w:t>
      </w:r>
    </w:p>
    <w:p w14:paraId="0AA72648" w14:textId="7A16DA85" w:rsidR="004E0725" w:rsidRDefault="004E4826" w:rsidP="004E0725">
      <w:pPr>
        <w:ind w:firstLine="540"/>
        <w:jc w:val="both"/>
      </w:pPr>
      <w:r>
        <w:t>8</w:t>
      </w:r>
      <w:r w:rsidR="006F5637">
        <w:t>.</w:t>
      </w:r>
      <w:r w:rsidR="004E0725" w:rsidRPr="004E0725">
        <w:t xml:space="preserve"> </w:t>
      </w:r>
      <w:r w:rsidR="004E0725">
        <w:t>В целом показатели проекта решения о бюджете соответствуют</w:t>
      </w:r>
      <w:r w:rsidR="004E0725" w:rsidRPr="00DC7904">
        <w:t xml:space="preserve">   установленным БК РФ принципам</w:t>
      </w:r>
      <w:r w:rsidR="004E0725">
        <w:t xml:space="preserve"> сбалансированности бюджета (ст.33 БК РФ) и общего (совокупного) покрытия расходов бюджетов (ст.35 БК РФ). Бюджет сформирован бездефицитный. </w:t>
      </w:r>
      <w:r w:rsidR="004E0725" w:rsidRPr="00834F9E">
        <w:t xml:space="preserve">Верхний предел муниципального долга </w:t>
      </w:r>
      <w:proofErr w:type="spellStart"/>
      <w:r w:rsidR="004E0725">
        <w:t>Каразейского</w:t>
      </w:r>
      <w:proofErr w:type="spellEnd"/>
      <w:r w:rsidR="004E0725" w:rsidRPr="00834F9E">
        <w:t xml:space="preserve"> МО на 01.01.</w:t>
      </w:r>
      <w:r w:rsidR="004E0725">
        <w:t>2025</w:t>
      </w:r>
      <w:r w:rsidR="004E0725" w:rsidRPr="00834F9E">
        <w:t>г.</w:t>
      </w:r>
      <w:r w:rsidR="004E0725">
        <w:t>, на 01.01.2026г., на 01.01.2027г.</w:t>
      </w:r>
      <w:r w:rsidR="004E0725" w:rsidRPr="00834F9E">
        <w:t xml:space="preserve"> предусмотрен </w:t>
      </w:r>
      <w:r w:rsidR="004E0725">
        <w:t xml:space="preserve">нулевой. </w:t>
      </w:r>
      <w:r w:rsidR="004E0725" w:rsidRPr="00834F9E">
        <w:t xml:space="preserve">Требования к размеру резервного фонда администрации поселения соблюдены (п. 3 ст. 81 БК РФ), объему бюджетных ассигнований Дорожного фонда поселения соблюдены (п. </w:t>
      </w:r>
      <w:r w:rsidR="004E0725">
        <w:t>5</w:t>
      </w:r>
      <w:r w:rsidR="004E0725" w:rsidRPr="00834F9E">
        <w:t xml:space="preserve"> ст</w:t>
      </w:r>
      <w:r w:rsidR="004E0725">
        <w:t>. 179.4 БК РФ),</w:t>
      </w:r>
      <w:r w:rsidR="004E0725" w:rsidRPr="00AC7894">
        <w:t xml:space="preserve"> к объему условно утверждаемых расходов </w:t>
      </w:r>
      <w:r w:rsidR="004E0725">
        <w:t xml:space="preserve">соблюдены </w:t>
      </w:r>
      <w:r w:rsidR="004E0725" w:rsidRPr="00AC7894">
        <w:t>(п. 3 ст. 184.1 БК РФ).</w:t>
      </w:r>
      <w:r w:rsidR="004E0725">
        <w:t xml:space="preserve"> Бюджет </w:t>
      </w:r>
      <w:proofErr w:type="spellStart"/>
      <w:r w:rsidR="004E0725">
        <w:t>Каразейского</w:t>
      </w:r>
      <w:proofErr w:type="spellEnd"/>
      <w:r w:rsidR="004E0725">
        <w:t xml:space="preserve"> сельского поселения сформирован непрограммным методом.</w:t>
      </w:r>
    </w:p>
    <w:p w14:paraId="5C9CB585" w14:textId="497450F4" w:rsidR="009910EA" w:rsidRDefault="009910EA" w:rsidP="00B926D5">
      <w:pPr>
        <w:ind w:firstLine="567"/>
        <w:jc w:val="both"/>
      </w:pPr>
    </w:p>
    <w:p w14:paraId="6F7E0093" w14:textId="77777777" w:rsidR="004E0725" w:rsidRDefault="004E0725" w:rsidP="00D80372">
      <w:pPr>
        <w:shd w:val="clear" w:color="auto" w:fill="FFFFFF"/>
        <w:ind w:firstLine="567"/>
        <w:jc w:val="both"/>
        <w:rPr>
          <w:b/>
        </w:rPr>
      </w:pPr>
    </w:p>
    <w:p w14:paraId="13F4FB3D" w14:textId="3C596267" w:rsidR="00D80372" w:rsidRPr="006110B1" w:rsidRDefault="00D80372" w:rsidP="00D80372">
      <w:pPr>
        <w:shd w:val="clear" w:color="auto" w:fill="FFFFFF"/>
        <w:ind w:firstLine="567"/>
        <w:jc w:val="both"/>
        <w:rPr>
          <w:b/>
        </w:rPr>
      </w:pPr>
      <w:r w:rsidRPr="00373EC6">
        <w:rPr>
          <w:b/>
        </w:rPr>
        <w:t xml:space="preserve">Данный проект бюджета </w:t>
      </w:r>
      <w:proofErr w:type="spellStart"/>
      <w:r w:rsidRPr="00373EC6">
        <w:rPr>
          <w:b/>
        </w:rPr>
        <w:t>Каразейс</w:t>
      </w:r>
      <w:r w:rsidR="00875BC9">
        <w:rPr>
          <w:b/>
        </w:rPr>
        <w:t>кого</w:t>
      </w:r>
      <w:proofErr w:type="spellEnd"/>
      <w:r w:rsidR="00875BC9">
        <w:rPr>
          <w:b/>
        </w:rPr>
        <w:t xml:space="preserve"> сельского поселения на </w:t>
      </w:r>
      <w:r w:rsidR="000E76FA">
        <w:rPr>
          <w:b/>
        </w:rPr>
        <w:t>202</w:t>
      </w:r>
      <w:r w:rsidR="004E0725">
        <w:rPr>
          <w:b/>
        </w:rPr>
        <w:t>4</w:t>
      </w:r>
      <w:r w:rsidRPr="00373EC6">
        <w:rPr>
          <w:b/>
        </w:rPr>
        <w:t xml:space="preserve"> год и плановый период </w:t>
      </w:r>
      <w:r w:rsidR="000E76FA">
        <w:rPr>
          <w:b/>
        </w:rPr>
        <w:t>202</w:t>
      </w:r>
      <w:r w:rsidR="004E0725">
        <w:rPr>
          <w:b/>
        </w:rPr>
        <w:t>5</w:t>
      </w:r>
      <w:r w:rsidR="00875BC9">
        <w:rPr>
          <w:b/>
        </w:rPr>
        <w:t xml:space="preserve"> и </w:t>
      </w:r>
      <w:r w:rsidR="000E76FA">
        <w:rPr>
          <w:b/>
        </w:rPr>
        <w:t>202</w:t>
      </w:r>
      <w:r w:rsidR="004E0725">
        <w:rPr>
          <w:b/>
        </w:rPr>
        <w:t>6</w:t>
      </w:r>
      <w:r w:rsidRPr="00373EC6">
        <w:rPr>
          <w:b/>
        </w:rPr>
        <w:t xml:space="preserve"> годов КСП </w:t>
      </w:r>
      <w:r w:rsidR="008A5935">
        <w:rPr>
          <w:b/>
        </w:rPr>
        <w:t xml:space="preserve">может быть </w:t>
      </w:r>
      <w:r w:rsidRPr="00373EC6">
        <w:rPr>
          <w:b/>
        </w:rPr>
        <w:t>рекомендован к принятию</w:t>
      </w:r>
      <w:r w:rsidR="00EB1E96">
        <w:t>.</w:t>
      </w:r>
    </w:p>
    <w:p w14:paraId="3857073C" w14:textId="77777777" w:rsidR="00D80372" w:rsidRDefault="00D80372" w:rsidP="00D80372">
      <w:pPr>
        <w:shd w:val="clear" w:color="auto" w:fill="FFFFFF"/>
        <w:ind w:firstLine="567"/>
        <w:jc w:val="both"/>
      </w:pPr>
    </w:p>
    <w:p w14:paraId="7DBD6BD9" w14:textId="77777777" w:rsidR="00D80372" w:rsidRDefault="00D80372" w:rsidP="00D80372">
      <w:pPr>
        <w:shd w:val="clear" w:color="auto" w:fill="FFFFFF"/>
        <w:ind w:firstLine="567"/>
        <w:jc w:val="both"/>
      </w:pPr>
    </w:p>
    <w:p w14:paraId="66DF68FA" w14:textId="77777777" w:rsidR="00D80372" w:rsidRDefault="00D80372" w:rsidP="00D80372">
      <w:pPr>
        <w:shd w:val="clear" w:color="auto" w:fill="FFFFFF"/>
        <w:ind w:firstLine="567"/>
        <w:jc w:val="both"/>
      </w:pPr>
    </w:p>
    <w:p w14:paraId="23CB367C" w14:textId="36470046" w:rsidR="00D80372" w:rsidRPr="00A441D3" w:rsidRDefault="002111C9" w:rsidP="00D80372">
      <w:r>
        <w:t>Ведущий инспектор</w:t>
      </w:r>
      <w:r w:rsidR="00D80372">
        <w:t xml:space="preserve"> </w:t>
      </w:r>
      <w:r w:rsidR="00D80372" w:rsidRPr="00A441D3">
        <w:t xml:space="preserve">Контрольно-счетной палаты </w:t>
      </w:r>
    </w:p>
    <w:p w14:paraId="45F5E998" w14:textId="792D32D4" w:rsidR="00D80372" w:rsidRPr="00A441D3" w:rsidRDefault="00D80372" w:rsidP="00D80372">
      <w:r w:rsidRPr="00A441D3">
        <w:t>муниципального образования Куйтунский р</w:t>
      </w:r>
      <w:r>
        <w:t xml:space="preserve">айон        ____________       </w:t>
      </w:r>
      <w:r w:rsidR="002111C9">
        <w:t>Е.И. Гришкевич</w:t>
      </w:r>
      <w:r w:rsidRPr="00A441D3">
        <w:t xml:space="preserve">    </w:t>
      </w:r>
    </w:p>
    <w:p w14:paraId="060F4F0E" w14:textId="77777777" w:rsidR="00D80372" w:rsidRDefault="00D80372" w:rsidP="00D80372"/>
    <w:sectPr w:rsidR="00D80372" w:rsidSect="00FC782C">
      <w:footerReference w:type="even" r:id="rId10"/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DBED6" w14:textId="77777777" w:rsidR="002C7BE4" w:rsidRDefault="002C7BE4">
      <w:r>
        <w:separator/>
      </w:r>
    </w:p>
  </w:endnote>
  <w:endnote w:type="continuationSeparator" w:id="0">
    <w:p w14:paraId="420B8C89" w14:textId="77777777" w:rsidR="002C7BE4" w:rsidRDefault="002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A9D8" w14:textId="77777777" w:rsidR="00575CA7" w:rsidRDefault="00575CA7" w:rsidP="000C52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758ABA" w14:textId="77777777" w:rsidR="00575CA7" w:rsidRDefault="00575CA7" w:rsidP="000C52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CE04" w14:textId="77777777" w:rsidR="00575CA7" w:rsidRDefault="00575CA7" w:rsidP="000C52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5D8E53EE" w14:textId="77777777" w:rsidR="00575CA7" w:rsidRDefault="00575CA7" w:rsidP="000C52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E4B6" w14:textId="77777777" w:rsidR="002C7BE4" w:rsidRDefault="002C7BE4">
      <w:r>
        <w:separator/>
      </w:r>
    </w:p>
  </w:footnote>
  <w:footnote w:type="continuationSeparator" w:id="0">
    <w:p w14:paraId="4D20E98A" w14:textId="77777777" w:rsidR="002C7BE4" w:rsidRDefault="002C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707"/>
    <w:multiLevelType w:val="hybridMultilevel"/>
    <w:tmpl w:val="47EA5962"/>
    <w:lvl w:ilvl="0" w:tplc="8CAE697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0655DF"/>
    <w:multiLevelType w:val="hybridMultilevel"/>
    <w:tmpl w:val="E08ACCE4"/>
    <w:lvl w:ilvl="0" w:tplc="D5DE5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E4BA8"/>
    <w:multiLevelType w:val="hybridMultilevel"/>
    <w:tmpl w:val="7B68D384"/>
    <w:lvl w:ilvl="0" w:tplc="FFDC675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15350E5"/>
    <w:multiLevelType w:val="hybridMultilevel"/>
    <w:tmpl w:val="9714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D5B93"/>
    <w:multiLevelType w:val="hybridMultilevel"/>
    <w:tmpl w:val="476AFAA8"/>
    <w:lvl w:ilvl="0" w:tplc="6296A49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EB6766B"/>
    <w:multiLevelType w:val="hybridMultilevel"/>
    <w:tmpl w:val="B226FE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535FBF"/>
    <w:multiLevelType w:val="multilevel"/>
    <w:tmpl w:val="E35278C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"/>
      <w:lvlJc w:val="left"/>
      <w:pPr>
        <w:tabs>
          <w:tab w:val="num" w:pos="952"/>
        </w:tabs>
        <w:ind w:left="952" w:hanging="840"/>
      </w:pPr>
    </w:lvl>
    <w:lvl w:ilvl="2">
      <w:start w:val="16"/>
      <w:numFmt w:val="decimal"/>
      <w:lvlText w:val="%1.%2.%3"/>
      <w:lvlJc w:val="left"/>
      <w:pPr>
        <w:tabs>
          <w:tab w:val="num" w:pos="1064"/>
        </w:tabs>
        <w:ind w:left="1064" w:hanging="840"/>
      </w:p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</w:lvl>
  </w:abstractNum>
  <w:abstractNum w:abstractNumId="7" w15:restartNumberingAfterBreak="0">
    <w:nsid w:val="24271942"/>
    <w:multiLevelType w:val="hybridMultilevel"/>
    <w:tmpl w:val="2760FF6A"/>
    <w:lvl w:ilvl="0" w:tplc="EED4014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D832485"/>
    <w:multiLevelType w:val="hybridMultilevel"/>
    <w:tmpl w:val="8006EF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31EFE"/>
    <w:multiLevelType w:val="hybridMultilevel"/>
    <w:tmpl w:val="3064F54E"/>
    <w:lvl w:ilvl="0" w:tplc="9A5E8D1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30A3DA3"/>
    <w:multiLevelType w:val="hybridMultilevel"/>
    <w:tmpl w:val="5C5EDC88"/>
    <w:lvl w:ilvl="0" w:tplc="5A4EF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B25ED"/>
    <w:multiLevelType w:val="hybridMultilevel"/>
    <w:tmpl w:val="EEE43810"/>
    <w:lvl w:ilvl="0" w:tplc="D03E62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B0E3D"/>
    <w:multiLevelType w:val="hybridMultilevel"/>
    <w:tmpl w:val="0EB0C28E"/>
    <w:lvl w:ilvl="0" w:tplc="E4DEA1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D84DDC"/>
    <w:multiLevelType w:val="hybridMultilevel"/>
    <w:tmpl w:val="6910F9D8"/>
    <w:lvl w:ilvl="0" w:tplc="8572D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3A2DF0"/>
    <w:multiLevelType w:val="hybridMultilevel"/>
    <w:tmpl w:val="751AF778"/>
    <w:lvl w:ilvl="0" w:tplc="C7D842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3585B"/>
    <w:multiLevelType w:val="multilevel"/>
    <w:tmpl w:val="C234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 w15:restartNumberingAfterBreak="0">
    <w:nsid w:val="3EA15D9F"/>
    <w:multiLevelType w:val="hybridMultilevel"/>
    <w:tmpl w:val="94B6752C"/>
    <w:lvl w:ilvl="0" w:tplc="0D66843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59809E6"/>
    <w:multiLevelType w:val="hybridMultilevel"/>
    <w:tmpl w:val="2F623C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60D90"/>
    <w:multiLevelType w:val="hybridMultilevel"/>
    <w:tmpl w:val="CA281940"/>
    <w:lvl w:ilvl="0" w:tplc="BA10A4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EC5218C"/>
    <w:multiLevelType w:val="hybridMultilevel"/>
    <w:tmpl w:val="2F7E6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2210D"/>
    <w:multiLevelType w:val="hybridMultilevel"/>
    <w:tmpl w:val="A698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A41268"/>
    <w:multiLevelType w:val="hybridMultilevel"/>
    <w:tmpl w:val="FB3E062C"/>
    <w:lvl w:ilvl="0" w:tplc="829E45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54132A6F"/>
    <w:multiLevelType w:val="hybridMultilevel"/>
    <w:tmpl w:val="CCF210EA"/>
    <w:lvl w:ilvl="0" w:tplc="21B20F2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1A3E47"/>
    <w:multiLevelType w:val="hybridMultilevel"/>
    <w:tmpl w:val="7990EAC0"/>
    <w:lvl w:ilvl="0" w:tplc="8CAE895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D2817B7"/>
    <w:multiLevelType w:val="multilevel"/>
    <w:tmpl w:val="1A7A2FF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817"/>
        </w:tabs>
        <w:ind w:left="817" w:hanging="705"/>
      </w:p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</w:lvl>
  </w:abstractNum>
  <w:abstractNum w:abstractNumId="25" w15:restartNumberingAfterBreak="0">
    <w:nsid w:val="5DE42BA5"/>
    <w:multiLevelType w:val="hybridMultilevel"/>
    <w:tmpl w:val="5F34D834"/>
    <w:lvl w:ilvl="0" w:tplc="7C647F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F7B2B68"/>
    <w:multiLevelType w:val="hybridMultilevel"/>
    <w:tmpl w:val="2E887D54"/>
    <w:lvl w:ilvl="0" w:tplc="92286B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055F"/>
    <w:multiLevelType w:val="hybridMultilevel"/>
    <w:tmpl w:val="788C3598"/>
    <w:lvl w:ilvl="0" w:tplc="34FABA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F67823"/>
    <w:multiLevelType w:val="hybridMultilevel"/>
    <w:tmpl w:val="029088EE"/>
    <w:lvl w:ilvl="0" w:tplc="F1E0CB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E9B058F"/>
    <w:multiLevelType w:val="hybridMultilevel"/>
    <w:tmpl w:val="0892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B2140"/>
    <w:multiLevelType w:val="multilevel"/>
    <w:tmpl w:val="3CA2824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0A13044"/>
    <w:multiLevelType w:val="hybridMultilevel"/>
    <w:tmpl w:val="010C600E"/>
    <w:lvl w:ilvl="0" w:tplc="6FD0F68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510FE5C">
      <w:numFmt w:val="none"/>
      <w:lvlText w:val=""/>
      <w:lvlJc w:val="left"/>
      <w:pPr>
        <w:tabs>
          <w:tab w:val="num" w:pos="360"/>
        </w:tabs>
      </w:pPr>
    </w:lvl>
    <w:lvl w:ilvl="2" w:tplc="D968F70E">
      <w:numFmt w:val="none"/>
      <w:lvlText w:val=""/>
      <w:lvlJc w:val="left"/>
      <w:pPr>
        <w:tabs>
          <w:tab w:val="num" w:pos="360"/>
        </w:tabs>
      </w:pPr>
    </w:lvl>
    <w:lvl w:ilvl="3" w:tplc="783C3802">
      <w:numFmt w:val="none"/>
      <w:lvlText w:val=""/>
      <w:lvlJc w:val="left"/>
      <w:pPr>
        <w:tabs>
          <w:tab w:val="num" w:pos="360"/>
        </w:tabs>
      </w:pPr>
    </w:lvl>
    <w:lvl w:ilvl="4" w:tplc="F2B00682">
      <w:numFmt w:val="none"/>
      <w:lvlText w:val=""/>
      <w:lvlJc w:val="left"/>
      <w:pPr>
        <w:tabs>
          <w:tab w:val="num" w:pos="360"/>
        </w:tabs>
      </w:pPr>
    </w:lvl>
    <w:lvl w:ilvl="5" w:tplc="2DD24228">
      <w:numFmt w:val="none"/>
      <w:lvlText w:val=""/>
      <w:lvlJc w:val="left"/>
      <w:pPr>
        <w:tabs>
          <w:tab w:val="num" w:pos="360"/>
        </w:tabs>
      </w:pPr>
    </w:lvl>
    <w:lvl w:ilvl="6" w:tplc="5260A32C">
      <w:numFmt w:val="none"/>
      <w:lvlText w:val=""/>
      <w:lvlJc w:val="left"/>
      <w:pPr>
        <w:tabs>
          <w:tab w:val="num" w:pos="360"/>
        </w:tabs>
      </w:pPr>
    </w:lvl>
    <w:lvl w:ilvl="7" w:tplc="6DD0214A">
      <w:numFmt w:val="none"/>
      <w:lvlText w:val=""/>
      <w:lvlJc w:val="left"/>
      <w:pPr>
        <w:tabs>
          <w:tab w:val="num" w:pos="360"/>
        </w:tabs>
      </w:pPr>
    </w:lvl>
    <w:lvl w:ilvl="8" w:tplc="55A039E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1094837"/>
    <w:multiLevelType w:val="hybridMultilevel"/>
    <w:tmpl w:val="2BD288BC"/>
    <w:lvl w:ilvl="0" w:tplc="06322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90443"/>
    <w:multiLevelType w:val="multilevel"/>
    <w:tmpl w:val="3CA2824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F266B2"/>
    <w:multiLevelType w:val="hybridMultilevel"/>
    <w:tmpl w:val="EB361B2C"/>
    <w:lvl w:ilvl="0" w:tplc="E1A63B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3FA06B0"/>
    <w:multiLevelType w:val="hybridMultilevel"/>
    <w:tmpl w:val="A3CE8988"/>
    <w:lvl w:ilvl="0" w:tplc="8B44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B7588"/>
    <w:multiLevelType w:val="hybridMultilevel"/>
    <w:tmpl w:val="847634AE"/>
    <w:lvl w:ilvl="0" w:tplc="6E12307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5017E67"/>
    <w:multiLevelType w:val="hybridMultilevel"/>
    <w:tmpl w:val="1DB40AA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95804EF"/>
    <w:multiLevelType w:val="hybridMultilevel"/>
    <w:tmpl w:val="37B0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D5B17"/>
    <w:multiLevelType w:val="hybridMultilevel"/>
    <w:tmpl w:val="4B568CA4"/>
    <w:lvl w:ilvl="0" w:tplc="7E3C4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B43172F"/>
    <w:multiLevelType w:val="hybridMultilevel"/>
    <w:tmpl w:val="37EA55E4"/>
    <w:lvl w:ilvl="0" w:tplc="B150D2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B856896"/>
    <w:multiLevelType w:val="hybridMultilevel"/>
    <w:tmpl w:val="A19C827A"/>
    <w:lvl w:ilvl="0" w:tplc="BDFA987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5520"/>
    <w:multiLevelType w:val="hybridMultilevel"/>
    <w:tmpl w:val="E026D348"/>
    <w:lvl w:ilvl="0" w:tplc="EAE62F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ECB7E29"/>
    <w:multiLevelType w:val="hybridMultilevel"/>
    <w:tmpl w:val="AF9EE208"/>
    <w:lvl w:ilvl="0" w:tplc="E288FD8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5"/>
  </w:num>
  <w:num w:numId="2">
    <w:abstractNumId w:val="38"/>
  </w:num>
  <w:num w:numId="3">
    <w:abstractNumId w:val="17"/>
  </w:num>
  <w:num w:numId="4">
    <w:abstractNumId w:val="20"/>
  </w:num>
  <w:num w:numId="5">
    <w:abstractNumId w:val="7"/>
  </w:num>
  <w:num w:numId="6">
    <w:abstractNumId w:val="2"/>
  </w:num>
  <w:num w:numId="7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3"/>
  </w:num>
  <w:num w:numId="19">
    <w:abstractNumId w:val="0"/>
  </w:num>
  <w:num w:numId="20">
    <w:abstractNumId w:val="25"/>
  </w:num>
  <w:num w:numId="21">
    <w:abstractNumId w:val="9"/>
  </w:num>
  <w:num w:numId="22">
    <w:abstractNumId w:val="23"/>
  </w:num>
  <w:num w:numId="23">
    <w:abstractNumId w:val="42"/>
  </w:num>
  <w:num w:numId="24">
    <w:abstractNumId w:val="39"/>
  </w:num>
  <w:num w:numId="25">
    <w:abstractNumId w:val="22"/>
  </w:num>
  <w:num w:numId="26">
    <w:abstractNumId w:val="15"/>
  </w:num>
  <w:num w:numId="27">
    <w:abstractNumId w:val="21"/>
  </w:num>
  <w:num w:numId="28">
    <w:abstractNumId w:val="18"/>
  </w:num>
  <w:num w:numId="29">
    <w:abstractNumId w:val="36"/>
  </w:num>
  <w:num w:numId="30">
    <w:abstractNumId w:val="27"/>
  </w:num>
  <w:num w:numId="31">
    <w:abstractNumId w:val="16"/>
  </w:num>
  <w:num w:numId="32">
    <w:abstractNumId w:val="31"/>
  </w:num>
  <w:num w:numId="33">
    <w:abstractNumId w:val="30"/>
  </w:num>
  <w:num w:numId="34">
    <w:abstractNumId w:val="40"/>
  </w:num>
  <w:num w:numId="35">
    <w:abstractNumId w:val="43"/>
  </w:num>
  <w:num w:numId="36">
    <w:abstractNumId w:val="28"/>
  </w:num>
  <w:num w:numId="37">
    <w:abstractNumId w:val="37"/>
  </w:num>
  <w:num w:numId="38">
    <w:abstractNumId w:val="8"/>
  </w:num>
  <w:num w:numId="39">
    <w:abstractNumId w:val="5"/>
  </w:num>
  <w:num w:numId="40">
    <w:abstractNumId w:val="19"/>
  </w:num>
  <w:num w:numId="41">
    <w:abstractNumId w:val="29"/>
  </w:num>
  <w:num w:numId="42">
    <w:abstractNumId w:val="13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A2"/>
    <w:rsid w:val="00000BC2"/>
    <w:rsid w:val="000043C4"/>
    <w:rsid w:val="000057FA"/>
    <w:rsid w:val="000200A6"/>
    <w:rsid w:val="000319B6"/>
    <w:rsid w:val="000320F1"/>
    <w:rsid w:val="000327B5"/>
    <w:rsid w:val="00041C1A"/>
    <w:rsid w:val="00043EAE"/>
    <w:rsid w:val="000512BC"/>
    <w:rsid w:val="000556E6"/>
    <w:rsid w:val="000649AD"/>
    <w:rsid w:val="00067E25"/>
    <w:rsid w:val="00070925"/>
    <w:rsid w:val="00070D5A"/>
    <w:rsid w:val="00071AF4"/>
    <w:rsid w:val="00071DDC"/>
    <w:rsid w:val="00073F75"/>
    <w:rsid w:val="00074F9C"/>
    <w:rsid w:val="00075FF4"/>
    <w:rsid w:val="0008119B"/>
    <w:rsid w:val="00095638"/>
    <w:rsid w:val="000A19DD"/>
    <w:rsid w:val="000C116D"/>
    <w:rsid w:val="000C24FA"/>
    <w:rsid w:val="000C46E0"/>
    <w:rsid w:val="000C5254"/>
    <w:rsid w:val="000D490E"/>
    <w:rsid w:val="000E42E0"/>
    <w:rsid w:val="000E4EE2"/>
    <w:rsid w:val="000E721E"/>
    <w:rsid w:val="000E76FA"/>
    <w:rsid w:val="000F356C"/>
    <w:rsid w:val="000F7668"/>
    <w:rsid w:val="0011485C"/>
    <w:rsid w:val="00115F2E"/>
    <w:rsid w:val="001230F0"/>
    <w:rsid w:val="00126C57"/>
    <w:rsid w:val="001308CC"/>
    <w:rsid w:val="00131D49"/>
    <w:rsid w:val="001349AB"/>
    <w:rsid w:val="00135447"/>
    <w:rsid w:val="00136A61"/>
    <w:rsid w:val="00164687"/>
    <w:rsid w:val="00171165"/>
    <w:rsid w:val="00173E2C"/>
    <w:rsid w:val="00173F8B"/>
    <w:rsid w:val="00175AB8"/>
    <w:rsid w:val="00177FAC"/>
    <w:rsid w:val="00181C0F"/>
    <w:rsid w:val="00182605"/>
    <w:rsid w:val="001840E6"/>
    <w:rsid w:val="00185BF7"/>
    <w:rsid w:val="001A3905"/>
    <w:rsid w:val="001A3CFA"/>
    <w:rsid w:val="001C5F36"/>
    <w:rsid w:val="001D2DB7"/>
    <w:rsid w:val="001D45F6"/>
    <w:rsid w:val="001E040F"/>
    <w:rsid w:val="001E1318"/>
    <w:rsid w:val="001E56DF"/>
    <w:rsid w:val="001E7201"/>
    <w:rsid w:val="001F3A19"/>
    <w:rsid w:val="001F5D3B"/>
    <w:rsid w:val="001F780E"/>
    <w:rsid w:val="001F7DAF"/>
    <w:rsid w:val="00201DA3"/>
    <w:rsid w:val="0020311A"/>
    <w:rsid w:val="00204A59"/>
    <w:rsid w:val="002055E2"/>
    <w:rsid w:val="0020646C"/>
    <w:rsid w:val="002111C9"/>
    <w:rsid w:val="0021190E"/>
    <w:rsid w:val="00211D12"/>
    <w:rsid w:val="00211FA1"/>
    <w:rsid w:val="00215D07"/>
    <w:rsid w:val="00221926"/>
    <w:rsid w:val="00225A9A"/>
    <w:rsid w:val="00226F9A"/>
    <w:rsid w:val="00230BE7"/>
    <w:rsid w:val="00231D42"/>
    <w:rsid w:val="00232282"/>
    <w:rsid w:val="00233EAB"/>
    <w:rsid w:val="00234580"/>
    <w:rsid w:val="00242F87"/>
    <w:rsid w:val="002446DA"/>
    <w:rsid w:val="00251E5B"/>
    <w:rsid w:val="00252763"/>
    <w:rsid w:val="00260BBB"/>
    <w:rsid w:val="00264616"/>
    <w:rsid w:val="00265F41"/>
    <w:rsid w:val="00273E70"/>
    <w:rsid w:val="002741B4"/>
    <w:rsid w:val="00287D35"/>
    <w:rsid w:val="0029274B"/>
    <w:rsid w:val="002A663E"/>
    <w:rsid w:val="002A7964"/>
    <w:rsid w:val="002B2A19"/>
    <w:rsid w:val="002C07CB"/>
    <w:rsid w:val="002C1356"/>
    <w:rsid w:val="002C31C3"/>
    <w:rsid w:val="002C3931"/>
    <w:rsid w:val="002C61FD"/>
    <w:rsid w:val="002C64A9"/>
    <w:rsid w:val="002C7BE4"/>
    <w:rsid w:val="002D147F"/>
    <w:rsid w:val="002D728C"/>
    <w:rsid w:val="002E1784"/>
    <w:rsid w:val="002E2C97"/>
    <w:rsid w:val="002F74FE"/>
    <w:rsid w:val="002F77F9"/>
    <w:rsid w:val="00301085"/>
    <w:rsid w:val="003074DB"/>
    <w:rsid w:val="00310255"/>
    <w:rsid w:val="00325350"/>
    <w:rsid w:val="00326613"/>
    <w:rsid w:val="0032713B"/>
    <w:rsid w:val="00327BDD"/>
    <w:rsid w:val="00341842"/>
    <w:rsid w:val="00343B2D"/>
    <w:rsid w:val="00345200"/>
    <w:rsid w:val="00347FA8"/>
    <w:rsid w:val="00350604"/>
    <w:rsid w:val="00350644"/>
    <w:rsid w:val="00355609"/>
    <w:rsid w:val="00356CF9"/>
    <w:rsid w:val="00364E24"/>
    <w:rsid w:val="00365860"/>
    <w:rsid w:val="00370EF1"/>
    <w:rsid w:val="0039084C"/>
    <w:rsid w:val="00396879"/>
    <w:rsid w:val="003A168B"/>
    <w:rsid w:val="003A3DD7"/>
    <w:rsid w:val="003B25E1"/>
    <w:rsid w:val="003B7AA9"/>
    <w:rsid w:val="003C2375"/>
    <w:rsid w:val="003D63AB"/>
    <w:rsid w:val="003D65B4"/>
    <w:rsid w:val="003D74F2"/>
    <w:rsid w:val="003F0482"/>
    <w:rsid w:val="003F07D5"/>
    <w:rsid w:val="003F5252"/>
    <w:rsid w:val="00403BE9"/>
    <w:rsid w:val="00404A25"/>
    <w:rsid w:val="00413BBA"/>
    <w:rsid w:val="00421FC2"/>
    <w:rsid w:val="00422F5C"/>
    <w:rsid w:val="00427D6E"/>
    <w:rsid w:val="00431AB2"/>
    <w:rsid w:val="004326F1"/>
    <w:rsid w:val="004347E5"/>
    <w:rsid w:val="00436DE7"/>
    <w:rsid w:val="00446B1C"/>
    <w:rsid w:val="00447B77"/>
    <w:rsid w:val="00453574"/>
    <w:rsid w:val="004551A8"/>
    <w:rsid w:val="0048204F"/>
    <w:rsid w:val="00482114"/>
    <w:rsid w:val="00482246"/>
    <w:rsid w:val="004858B7"/>
    <w:rsid w:val="00497838"/>
    <w:rsid w:val="00497B84"/>
    <w:rsid w:val="004A440E"/>
    <w:rsid w:val="004B04D0"/>
    <w:rsid w:val="004B475D"/>
    <w:rsid w:val="004B6071"/>
    <w:rsid w:val="004B7319"/>
    <w:rsid w:val="004C3C0E"/>
    <w:rsid w:val="004C405E"/>
    <w:rsid w:val="004C56B4"/>
    <w:rsid w:val="004D0243"/>
    <w:rsid w:val="004D04DD"/>
    <w:rsid w:val="004D3574"/>
    <w:rsid w:val="004E0678"/>
    <w:rsid w:val="004E0725"/>
    <w:rsid w:val="004E27E6"/>
    <w:rsid w:val="004E4826"/>
    <w:rsid w:val="004F2F3C"/>
    <w:rsid w:val="00505781"/>
    <w:rsid w:val="0050658D"/>
    <w:rsid w:val="00513329"/>
    <w:rsid w:val="00520FA2"/>
    <w:rsid w:val="00531087"/>
    <w:rsid w:val="00532027"/>
    <w:rsid w:val="005331BE"/>
    <w:rsid w:val="005338D3"/>
    <w:rsid w:val="005379C4"/>
    <w:rsid w:val="00537E51"/>
    <w:rsid w:val="0054036B"/>
    <w:rsid w:val="00544390"/>
    <w:rsid w:val="005467A2"/>
    <w:rsid w:val="0055749C"/>
    <w:rsid w:val="0056224D"/>
    <w:rsid w:val="0057573A"/>
    <w:rsid w:val="005759C5"/>
    <w:rsid w:val="00575CA7"/>
    <w:rsid w:val="00584E89"/>
    <w:rsid w:val="00590573"/>
    <w:rsid w:val="005A36A1"/>
    <w:rsid w:val="005A6BB3"/>
    <w:rsid w:val="005A6DB9"/>
    <w:rsid w:val="005A7735"/>
    <w:rsid w:val="005A7877"/>
    <w:rsid w:val="005B069F"/>
    <w:rsid w:val="005C0B9B"/>
    <w:rsid w:val="005C3DEC"/>
    <w:rsid w:val="005C569F"/>
    <w:rsid w:val="005D1F6A"/>
    <w:rsid w:val="005D43E8"/>
    <w:rsid w:val="005D6DC3"/>
    <w:rsid w:val="005F1F45"/>
    <w:rsid w:val="005F38C3"/>
    <w:rsid w:val="005F5CF1"/>
    <w:rsid w:val="005F5D80"/>
    <w:rsid w:val="005F62AE"/>
    <w:rsid w:val="005F6CC4"/>
    <w:rsid w:val="00602CC9"/>
    <w:rsid w:val="00615BE1"/>
    <w:rsid w:val="00615CB4"/>
    <w:rsid w:val="0062536D"/>
    <w:rsid w:val="00625F47"/>
    <w:rsid w:val="006275C9"/>
    <w:rsid w:val="00647887"/>
    <w:rsid w:val="00647F3E"/>
    <w:rsid w:val="00647FC7"/>
    <w:rsid w:val="00660ABB"/>
    <w:rsid w:val="00673255"/>
    <w:rsid w:val="006763AB"/>
    <w:rsid w:val="00687696"/>
    <w:rsid w:val="00687CB2"/>
    <w:rsid w:val="006A0488"/>
    <w:rsid w:val="006A1B1E"/>
    <w:rsid w:val="006A2F75"/>
    <w:rsid w:val="006A5411"/>
    <w:rsid w:val="006B21F0"/>
    <w:rsid w:val="006B3F65"/>
    <w:rsid w:val="006C168B"/>
    <w:rsid w:val="006C17BB"/>
    <w:rsid w:val="006D2D9A"/>
    <w:rsid w:val="006E002E"/>
    <w:rsid w:val="006E0B8D"/>
    <w:rsid w:val="006F1709"/>
    <w:rsid w:val="006F5637"/>
    <w:rsid w:val="006F7AD4"/>
    <w:rsid w:val="0070264A"/>
    <w:rsid w:val="007037F9"/>
    <w:rsid w:val="007105E6"/>
    <w:rsid w:val="00715072"/>
    <w:rsid w:val="007168B2"/>
    <w:rsid w:val="00720636"/>
    <w:rsid w:val="007264F2"/>
    <w:rsid w:val="007321DA"/>
    <w:rsid w:val="0074004D"/>
    <w:rsid w:val="007430AB"/>
    <w:rsid w:val="00747053"/>
    <w:rsid w:val="00754873"/>
    <w:rsid w:val="00755003"/>
    <w:rsid w:val="007557F5"/>
    <w:rsid w:val="00757916"/>
    <w:rsid w:val="00761740"/>
    <w:rsid w:val="00775A20"/>
    <w:rsid w:val="00777914"/>
    <w:rsid w:val="00777CB1"/>
    <w:rsid w:val="007815AE"/>
    <w:rsid w:val="007826F3"/>
    <w:rsid w:val="007849E7"/>
    <w:rsid w:val="007A12B1"/>
    <w:rsid w:val="007A238F"/>
    <w:rsid w:val="007A2523"/>
    <w:rsid w:val="007A61BA"/>
    <w:rsid w:val="007C4CD1"/>
    <w:rsid w:val="007C565A"/>
    <w:rsid w:val="007D1471"/>
    <w:rsid w:val="007E44BF"/>
    <w:rsid w:val="007E530A"/>
    <w:rsid w:val="007F2BA6"/>
    <w:rsid w:val="007F46E7"/>
    <w:rsid w:val="007F4744"/>
    <w:rsid w:val="007F6937"/>
    <w:rsid w:val="008036FC"/>
    <w:rsid w:val="0080560C"/>
    <w:rsid w:val="008121A0"/>
    <w:rsid w:val="00820A6D"/>
    <w:rsid w:val="00822FC4"/>
    <w:rsid w:val="008312E6"/>
    <w:rsid w:val="008405A0"/>
    <w:rsid w:val="0084306A"/>
    <w:rsid w:val="0084418A"/>
    <w:rsid w:val="00850D77"/>
    <w:rsid w:val="00854166"/>
    <w:rsid w:val="00857AF4"/>
    <w:rsid w:val="00861185"/>
    <w:rsid w:val="0087108E"/>
    <w:rsid w:val="00875BC9"/>
    <w:rsid w:val="00880839"/>
    <w:rsid w:val="00883958"/>
    <w:rsid w:val="00884692"/>
    <w:rsid w:val="00897726"/>
    <w:rsid w:val="008A0DD9"/>
    <w:rsid w:val="008A21D4"/>
    <w:rsid w:val="008A56A1"/>
    <w:rsid w:val="008A5935"/>
    <w:rsid w:val="008B2044"/>
    <w:rsid w:val="008B6404"/>
    <w:rsid w:val="008B6835"/>
    <w:rsid w:val="008C0D91"/>
    <w:rsid w:val="008C0F49"/>
    <w:rsid w:val="008C4A3C"/>
    <w:rsid w:val="008C660B"/>
    <w:rsid w:val="008D2F09"/>
    <w:rsid w:val="008E3D74"/>
    <w:rsid w:val="008F22E1"/>
    <w:rsid w:val="008F2D25"/>
    <w:rsid w:val="008F5186"/>
    <w:rsid w:val="008F6863"/>
    <w:rsid w:val="00905146"/>
    <w:rsid w:val="009100F3"/>
    <w:rsid w:val="0091026F"/>
    <w:rsid w:val="00920830"/>
    <w:rsid w:val="009269B6"/>
    <w:rsid w:val="009424CC"/>
    <w:rsid w:val="0094292D"/>
    <w:rsid w:val="0095070C"/>
    <w:rsid w:val="00951A5F"/>
    <w:rsid w:val="009530CB"/>
    <w:rsid w:val="009549D4"/>
    <w:rsid w:val="00962928"/>
    <w:rsid w:val="00964264"/>
    <w:rsid w:val="009650A6"/>
    <w:rsid w:val="00966066"/>
    <w:rsid w:val="00966338"/>
    <w:rsid w:val="00972D90"/>
    <w:rsid w:val="00973594"/>
    <w:rsid w:val="009843A5"/>
    <w:rsid w:val="00985063"/>
    <w:rsid w:val="00990CB2"/>
    <w:rsid w:val="009910EA"/>
    <w:rsid w:val="0099186E"/>
    <w:rsid w:val="00992FEB"/>
    <w:rsid w:val="00995ECC"/>
    <w:rsid w:val="009A580F"/>
    <w:rsid w:val="009B5A69"/>
    <w:rsid w:val="009B6C7E"/>
    <w:rsid w:val="009E1196"/>
    <w:rsid w:val="009E4450"/>
    <w:rsid w:val="009E508D"/>
    <w:rsid w:val="009F000D"/>
    <w:rsid w:val="009F6A96"/>
    <w:rsid w:val="00A1006F"/>
    <w:rsid w:val="00A13A95"/>
    <w:rsid w:val="00A142A2"/>
    <w:rsid w:val="00A14B2A"/>
    <w:rsid w:val="00A17204"/>
    <w:rsid w:val="00A350CB"/>
    <w:rsid w:val="00A423F6"/>
    <w:rsid w:val="00A4277B"/>
    <w:rsid w:val="00A446BD"/>
    <w:rsid w:val="00A45DB5"/>
    <w:rsid w:val="00A47233"/>
    <w:rsid w:val="00A56FE0"/>
    <w:rsid w:val="00A641A0"/>
    <w:rsid w:val="00A64F77"/>
    <w:rsid w:val="00A74AB0"/>
    <w:rsid w:val="00A76BAE"/>
    <w:rsid w:val="00A9289D"/>
    <w:rsid w:val="00AB0841"/>
    <w:rsid w:val="00AB5DA8"/>
    <w:rsid w:val="00AC3C4C"/>
    <w:rsid w:val="00AC7894"/>
    <w:rsid w:val="00AD1332"/>
    <w:rsid w:val="00AD215F"/>
    <w:rsid w:val="00AE0147"/>
    <w:rsid w:val="00AE080E"/>
    <w:rsid w:val="00AE333B"/>
    <w:rsid w:val="00AF4B0C"/>
    <w:rsid w:val="00AF4CB2"/>
    <w:rsid w:val="00B01BC1"/>
    <w:rsid w:val="00B025D0"/>
    <w:rsid w:val="00B026BB"/>
    <w:rsid w:val="00B045B0"/>
    <w:rsid w:val="00B077C0"/>
    <w:rsid w:val="00B221FE"/>
    <w:rsid w:val="00B26C57"/>
    <w:rsid w:val="00B31BB4"/>
    <w:rsid w:val="00B35EDA"/>
    <w:rsid w:val="00B4213F"/>
    <w:rsid w:val="00B46377"/>
    <w:rsid w:val="00B47759"/>
    <w:rsid w:val="00B52152"/>
    <w:rsid w:val="00B6462A"/>
    <w:rsid w:val="00B66761"/>
    <w:rsid w:val="00B71C0A"/>
    <w:rsid w:val="00B73A26"/>
    <w:rsid w:val="00B7544D"/>
    <w:rsid w:val="00B77476"/>
    <w:rsid w:val="00B82571"/>
    <w:rsid w:val="00B84EA2"/>
    <w:rsid w:val="00B926D5"/>
    <w:rsid w:val="00B92AF5"/>
    <w:rsid w:val="00B92F6E"/>
    <w:rsid w:val="00B930EC"/>
    <w:rsid w:val="00B94028"/>
    <w:rsid w:val="00B97A11"/>
    <w:rsid w:val="00BA1FCD"/>
    <w:rsid w:val="00BA69D0"/>
    <w:rsid w:val="00BB1052"/>
    <w:rsid w:val="00BB5C53"/>
    <w:rsid w:val="00BB7186"/>
    <w:rsid w:val="00BC01D4"/>
    <w:rsid w:val="00BC08B5"/>
    <w:rsid w:val="00BC4CFF"/>
    <w:rsid w:val="00BC7AE8"/>
    <w:rsid w:val="00BD128F"/>
    <w:rsid w:val="00BD6052"/>
    <w:rsid w:val="00BE16F2"/>
    <w:rsid w:val="00BE22BD"/>
    <w:rsid w:val="00BE3F53"/>
    <w:rsid w:val="00BE4B8E"/>
    <w:rsid w:val="00BE617E"/>
    <w:rsid w:val="00C07D5A"/>
    <w:rsid w:val="00C138CD"/>
    <w:rsid w:val="00C3239B"/>
    <w:rsid w:val="00C42971"/>
    <w:rsid w:val="00C43ACF"/>
    <w:rsid w:val="00C4525F"/>
    <w:rsid w:val="00C46175"/>
    <w:rsid w:val="00C46A9D"/>
    <w:rsid w:val="00C470C2"/>
    <w:rsid w:val="00C5251E"/>
    <w:rsid w:val="00C56789"/>
    <w:rsid w:val="00C613FD"/>
    <w:rsid w:val="00C65461"/>
    <w:rsid w:val="00C6715B"/>
    <w:rsid w:val="00C718F6"/>
    <w:rsid w:val="00C71E2B"/>
    <w:rsid w:val="00C73E61"/>
    <w:rsid w:val="00C76287"/>
    <w:rsid w:val="00C8042A"/>
    <w:rsid w:val="00C83758"/>
    <w:rsid w:val="00C84133"/>
    <w:rsid w:val="00C940CB"/>
    <w:rsid w:val="00C96776"/>
    <w:rsid w:val="00C97C61"/>
    <w:rsid w:val="00CB0425"/>
    <w:rsid w:val="00CB4F67"/>
    <w:rsid w:val="00CB7260"/>
    <w:rsid w:val="00CB75DF"/>
    <w:rsid w:val="00CB7CF2"/>
    <w:rsid w:val="00CC2B92"/>
    <w:rsid w:val="00CC7E8F"/>
    <w:rsid w:val="00CD52FA"/>
    <w:rsid w:val="00CE3213"/>
    <w:rsid w:val="00CE4603"/>
    <w:rsid w:val="00CF2F84"/>
    <w:rsid w:val="00CF35A8"/>
    <w:rsid w:val="00CF6BC8"/>
    <w:rsid w:val="00D1291B"/>
    <w:rsid w:val="00D132C4"/>
    <w:rsid w:val="00D1485F"/>
    <w:rsid w:val="00D17E47"/>
    <w:rsid w:val="00D20C6E"/>
    <w:rsid w:val="00D22078"/>
    <w:rsid w:val="00D26B58"/>
    <w:rsid w:val="00D2764F"/>
    <w:rsid w:val="00D32C64"/>
    <w:rsid w:val="00D365C5"/>
    <w:rsid w:val="00D41822"/>
    <w:rsid w:val="00D52F84"/>
    <w:rsid w:val="00D560E0"/>
    <w:rsid w:val="00D56A80"/>
    <w:rsid w:val="00D759EA"/>
    <w:rsid w:val="00D76DDA"/>
    <w:rsid w:val="00D80372"/>
    <w:rsid w:val="00D80851"/>
    <w:rsid w:val="00D9234C"/>
    <w:rsid w:val="00DA1480"/>
    <w:rsid w:val="00DB4412"/>
    <w:rsid w:val="00DB4547"/>
    <w:rsid w:val="00DC1F4D"/>
    <w:rsid w:val="00DC5E8A"/>
    <w:rsid w:val="00DD763C"/>
    <w:rsid w:val="00DE0B4A"/>
    <w:rsid w:val="00DF42A8"/>
    <w:rsid w:val="00E0149A"/>
    <w:rsid w:val="00E04061"/>
    <w:rsid w:val="00E1463E"/>
    <w:rsid w:val="00E2024B"/>
    <w:rsid w:val="00E20F5D"/>
    <w:rsid w:val="00E24E4F"/>
    <w:rsid w:val="00E309AB"/>
    <w:rsid w:val="00E33532"/>
    <w:rsid w:val="00E37902"/>
    <w:rsid w:val="00E42742"/>
    <w:rsid w:val="00E50320"/>
    <w:rsid w:val="00E506D7"/>
    <w:rsid w:val="00E656E4"/>
    <w:rsid w:val="00E750A6"/>
    <w:rsid w:val="00E75347"/>
    <w:rsid w:val="00E818E2"/>
    <w:rsid w:val="00E84A83"/>
    <w:rsid w:val="00E84D04"/>
    <w:rsid w:val="00E93B6D"/>
    <w:rsid w:val="00E97001"/>
    <w:rsid w:val="00EA2035"/>
    <w:rsid w:val="00EA3494"/>
    <w:rsid w:val="00EB1E96"/>
    <w:rsid w:val="00EB2F08"/>
    <w:rsid w:val="00EC34A1"/>
    <w:rsid w:val="00EE28EA"/>
    <w:rsid w:val="00EE5078"/>
    <w:rsid w:val="00EE7FF2"/>
    <w:rsid w:val="00EF06BA"/>
    <w:rsid w:val="00EF4CAE"/>
    <w:rsid w:val="00EF4FBF"/>
    <w:rsid w:val="00EF6D0F"/>
    <w:rsid w:val="00EF79C7"/>
    <w:rsid w:val="00F01DBC"/>
    <w:rsid w:val="00F04692"/>
    <w:rsid w:val="00F10BA1"/>
    <w:rsid w:val="00F1128C"/>
    <w:rsid w:val="00F13BF6"/>
    <w:rsid w:val="00F232BD"/>
    <w:rsid w:val="00F320DE"/>
    <w:rsid w:val="00F47B4B"/>
    <w:rsid w:val="00F50429"/>
    <w:rsid w:val="00F57135"/>
    <w:rsid w:val="00F5713F"/>
    <w:rsid w:val="00F57407"/>
    <w:rsid w:val="00F62429"/>
    <w:rsid w:val="00F731F8"/>
    <w:rsid w:val="00F73F05"/>
    <w:rsid w:val="00F81BB4"/>
    <w:rsid w:val="00F84AD0"/>
    <w:rsid w:val="00F9603A"/>
    <w:rsid w:val="00F9720A"/>
    <w:rsid w:val="00FA089D"/>
    <w:rsid w:val="00FA4523"/>
    <w:rsid w:val="00FB3D7B"/>
    <w:rsid w:val="00FB471D"/>
    <w:rsid w:val="00FB6DA2"/>
    <w:rsid w:val="00FC12AE"/>
    <w:rsid w:val="00FC3E4F"/>
    <w:rsid w:val="00FC782C"/>
    <w:rsid w:val="00FD0E42"/>
    <w:rsid w:val="00FD1AFC"/>
    <w:rsid w:val="00FD6E53"/>
    <w:rsid w:val="00FD759D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1887"/>
  <w15:chartTrackingRefBased/>
  <w15:docId w15:val="{19F0CC5B-53D8-41DC-9730-4DF71557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rsid w:val="00D803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0372"/>
  </w:style>
  <w:style w:type="table" w:styleId="a6">
    <w:name w:val="Table Grid"/>
    <w:basedOn w:val="a1"/>
    <w:rsid w:val="00D8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80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 Знак,Знак"/>
    <w:basedOn w:val="a"/>
    <w:link w:val="aa"/>
    <w:rsid w:val="00D80372"/>
    <w:pPr>
      <w:spacing w:after="120"/>
    </w:pPr>
  </w:style>
  <w:style w:type="character" w:customStyle="1" w:styleId="aa">
    <w:name w:val="Основной текст Знак"/>
    <w:aliases w:val=" Знак Знак,Знак Знак"/>
    <w:basedOn w:val="a0"/>
    <w:link w:val="a9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80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80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8037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80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0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D80372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ad">
    <w:name w:val="Body Text Indent"/>
    <w:basedOn w:val="a"/>
    <w:link w:val="ae"/>
    <w:rsid w:val="00D803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80372"/>
    <w:pPr>
      <w:suppressAutoHyphens/>
      <w:ind w:right="-96" w:firstLine="567"/>
      <w:jc w:val="center"/>
    </w:pPr>
    <w:rPr>
      <w:rFonts w:eastAsia="Arial"/>
      <w:b/>
      <w:sz w:val="28"/>
      <w:szCs w:val="20"/>
      <w:lang w:eastAsia="ar-SA"/>
    </w:rPr>
  </w:style>
  <w:style w:type="paragraph" w:customStyle="1" w:styleId="ConsNonformat">
    <w:name w:val="ConsNonformat"/>
    <w:rsid w:val="00D8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CYR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80372"/>
    <w:pPr>
      <w:spacing w:before="100" w:beforeAutospacing="1" w:after="100" w:afterAutospacing="1"/>
    </w:pPr>
  </w:style>
  <w:style w:type="character" w:customStyle="1" w:styleId="af0">
    <w:name w:val="Гипертекстовая ссылка"/>
    <w:uiPriority w:val="99"/>
    <w:rsid w:val="00D80372"/>
    <w:rPr>
      <w:color w:val="106BBE"/>
    </w:rPr>
  </w:style>
  <w:style w:type="character" w:customStyle="1" w:styleId="af1">
    <w:name w:val="Цветовое выделение"/>
    <w:uiPriority w:val="99"/>
    <w:rsid w:val="00D8037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803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5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193548387096769E-2"/>
          <c:y val="4.2654028436018961E-2"/>
          <c:w val="0.9258064516129032"/>
          <c:h val="0.672985781990521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2022г.</c:v>
                </c:pt>
                <c:pt idx="1">
                  <c:v>оценка 2023г. </c:v>
                </c:pt>
                <c:pt idx="2">
                  <c:v>проект 2024г</c:v>
                </c:pt>
                <c:pt idx="3">
                  <c:v>прогноз 2025г.</c:v>
                </c:pt>
                <c:pt idx="4">
                  <c:v>прогноз 2026г.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5121.3</c:v>
                </c:pt>
                <c:pt idx="1">
                  <c:v>3542.5</c:v>
                </c:pt>
                <c:pt idx="2">
                  <c:v>4128.6000000000004</c:v>
                </c:pt>
                <c:pt idx="3">
                  <c:v>4221.3999999999996</c:v>
                </c:pt>
                <c:pt idx="4">
                  <c:v>4323.8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6C7-43EC-872F-8F5EFD317EA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2022г.</c:v>
                </c:pt>
                <c:pt idx="1">
                  <c:v>оценка 2023г. </c:v>
                </c:pt>
                <c:pt idx="2">
                  <c:v>проект 2024г</c:v>
                </c:pt>
                <c:pt idx="3">
                  <c:v>прогноз 2025г.</c:v>
                </c:pt>
                <c:pt idx="4">
                  <c:v>прогноз 2026г.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341.2</c:v>
                </c:pt>
                <c:pt idx="1">
                  <c:v>94.9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C7-43EC-872F-8F5EFD317EA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2022г.</c:v>
                </c:pt>
                <c:pt idx="1">
                  <c:v>оценка 2023г. </c:v>
                </c:pt>
                <c:pt idx="2">
                  <c:v>проект 2024г</c:v>
                </c:pt>
                <c:pt idx="3">
                  <c:v>прогноз 2025г.</c:v>
                </c:pt>
                <c:pt idx="4">
                  <c:v>прогноз 2026г.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15702.5</c:v>
                </c:pt>
                <c:pt idx="1">
                  <c:v>12722.4</c:v>
                </c:pt>
                <c:pt idx="2">
                  <c:v>12416.1</c:v>
                </c:pt>
                <c:pt idx="3">
                  <c:v>8278.6</c:v>
                </c:pt>
                <c:pt idx="4">
                  <c:v>8128.1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C7-43EC-872F-8F5EFD317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176578968"/>
        <c:axId val="176578184"/>
        <c:axId val="0"/>
      </c:bar3DChart>
      <c:catAx>
        <c:axId val="176578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5781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6578184"/>
        <c:scaling>
          <c:orientation val="minMax"/>
          <c:max val="30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578968"/>
        <c:crosses val="autoZero"/>
        <c:crossBetween val="between"/>
        <c:majorUnit val="50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677419354838708"/>
          <c:y val="0.87677725118483407"/>
          <c:w val="0.68387096774193545"/>
          <c:h val="0.109004739336492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62359432498536"/>
          <c:y val="2.3931449745252433E-2"/>
          <c:w val="0.6745251221791484"/>
          <c:h val="0.655183881426586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2023г.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7204.7</c:v>
                </c:pt>
                <c:pt idx="1">
                  <c:v>173.7</c:v>
                </c:pt>
                <c:pt idx="2">
                  <c:v>30</c:v>
                </c:pt>
                <c:pt idx="3">
                  <c:v>2201.4</c:v>
                </c:pt>
                <c:pt idx="4">
                  <c:v>2565</c:v>
                </c:pt>
                <c:pt idx="5">
                  <c:v>10</c:v>
                </c:pt>
                <c:pt idx="6">
                  <c:v>8602</c:v>
                </c:pt>
                <c:pt idx="7">
                  <c:v>365.7</c:v>
                </c:pt>
                <c:pt idx="8">
                  <c:v>5</c:v>
                </c:pt>
                <c:pt idx="9">
                  <c:v>843.6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9-4CC0-B14A-E65E178D43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Проект 2024г.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5347.7</c:v>
                </c:pt>
                <c:pt idx="1">
                  <c:v>182.7</c:v>
                </c:pt>
                <c:pt idx="2">
                  <c:v>30</c:v>
                </c:pt>
                <c:pt idx="3">
                  <c:v>1538.9</c:v>
                </c:pt>
                <c:pt idx="4">
                  <c:v>2800.6</c:v>
                </c:pt>
                <c:pt idx="5">
                  <c:v>34</c:v>
                </c:pt>
                <c:pt idx="6">
                  <c:v>5580</c:v>
                </c:pt>
                <c:pt idx="7">
                  <c:v>300</c:v>
                </c:pt>
                <c:pt idx="8">
                  <c:v>43</c:v>
                </c:pt>
                <c:pt idx="9">
                  <c:v>777.8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E9-4CC0-B14A-E65E178D43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DCE9-4CC0-B14A-E65E178D4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577400"/>
        <c:axId val="176839824"/>
        <c:axId val="0"/>
      </c:bar3DChart>
      <c:catAx>
        <c:axId val="176577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39824"/>
        <c:crosses val="autoZero"/>
        <c:auto val="1"/>
        <c:lblAlgn val="ctr"/>
        <c:lblOffset val="100"/>
        <c:noMultiLvlLbl val="0"/>
      </c:catAx>
      <c:valAx>
        <c:axId val="176839824"/>
        <c:scaling>
          <c:orientation val="minMax"/>
          <c:max val="67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77400"/>
        <c:crosses val="autoZero"/>
        <c:crossBetween val="between"/>
        <c:majorUnit val="500"/>
      </c:valAx>
      <c:spPr>
        <a:noFill/>
        <a:ln w="25325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9BD6-9119-4439-AC35-F99A555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15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2023-11-21T03:13:00Z</cp:lastPrinted>
  <dcterms:created xsi:type="dcterms:W3CDTF">2020-12-11T00:21:00Z</dcterms:created>
  <dcterms:modified xsi:type="dcterms:W3CDTF">2023-12-07T05:45:00Z</dcterms:modified>
</cp:coreProperties>
</file>